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45A0D" w14:textId="77777777" w:rsidR="00B90F69" w:rsidRPr="0058002A" w:rsidRDefault="00B90F69" w:rsidP="00132A04">
      <w:pPr>
        <w:autoSpaceDE w:val="0"/>
        <w:autoSpaceDN w:val="0"/>
        <w:adjustRightInd w:val="0"/>
        <w:spacing w:after="120"/>
        <w:rPr>
          <w:rFonts w:ascii="Arial Narrow" w:hAnsi="Arial Narrow" w:cs="Arial"/>
          <w:bCs/>
          <w:color w:val="000000"/>
          <w:sz w:val="26"/>
          <w:szCs w:val="26"/>
        </w:rPr>
      </w:pPr>
      <w:bookmarkStart w:id="0" w:name="_GoBack"/>
      <w:bookmarkEnd w:id="0"/>
    </w:p>
    <w:p w14:paraId="4FAEABC7" w14:textId="77777777" w:rsidR="00B05E22" w:rsidRPr="00132A04" w:rsidRDefault="00B05E22" w:rsidP="00132A04">
      <w:pPr>
        <w:spacing w:after="120"/>
        <w:rPr>
          <w:rFonts w:ascii="Arial Narrow" w:hAnsi="Arial Narrow" w:cs="Arial"/>
          <w:b/>
          <w:bCs/>
          <w:color w:val="E42618"/>
          <w:sz w:val="28"/>
          <w:szCs w:val="28"/>
        </w:rPr>
      </w:pPr>
    </w:p>
    <w:p w14:paraId="7B00DA7D" w14:textId="1829A8DE" w:rsidR="002F6D38" w:rsidRPr="00132A04" w:rsidRDefault="002F6D38" w:rsidP="00132A04">
      <w:pPr>
        <w:spacing w:after="120"/>
        <w:rPr>
          <w:rFonts w:ascii="Arial Narrow" w:hAnsi="Arial Narrow" w:cs="Arial"/>
          <w:b/>
          <w:bCs/>
          <w:color w:val="E42618"/>
          <w:sz w:val="28"/>
          <w:szCs w:val="28"/>
        </w:rPr>
      </w:pPr>
      <w:r w:rsidRPr="00132A04">
        <w:rPr>
          <w:rFonts w:ascii="Arial Narrow" w:hAnsi="Arial Narrow" w:cs="Arial"/>
          <w:b/>
          <w:bCs/>
          <w:color w:val="E42618"/>
          <w:sz w:val="28"/>
          <w:szCs w:val="28"/>
        </w:rPr>
        <w:t>LE STATISTICHE DELL’ISTAT SULL’ACQUA</w:t>
      </w:r>
      <w:r w:rsidR="00B90F69">
        <w:rPr>
          <w:rFonts w:ascii="Arial Narrow" w:hAnsi="Arial Narrow" w:cs="Arial"/>
          <w:b/>
          <w:bCs/>
          <w:color w:val="E42618"/>
          <w:sz w:val="28"/>
          <w:szCs w:val="28"/>
        </w:rPr>
        <w:t xml:space="preserve">  </w:t>
      </w:r>
      <w:r w:rsidRPr="00132A04">
        <w:rPr>
          <w:rFonts w:ascii="Arial Narrow" w:hAnsi="Arial Narrow" w:cs="Arial"/>
          <w:b/>
          <w:bCs/>
          <w:color w:val="1F497D" w:themeColor="text2"/>
          <w:sz w:val="28"/>
          <w:szCs w:val="28"/>
        </w:rPr>
        <w:t>|</w:t>
      </w:r>
      <w:r w:rsidRPr="00132A04">
        <w:rPr>
          <w:rFonts w:ascii="Arial Narrow" w:hAnsi="Arial Narrow" w:cs="Arial"/>
          <w:b/>
          <w:bCs/>
          <w:color w:val="E42618"/>
          <w:sz w:val="28"/>
          <w:szCs w:val="28"/>
        </w:rPr>
        <w:t xml:space="preserve"> </w:t>
      </w:r>
      <w:r w:rsidR="00B90F69">
        <w:rPr>
          <w:rFonts w:ascii="Arial Narrow" w:hAnsi="Arial Narrow" w:cs="Arial"/>
          <w:b/>
          <w:bCs/>
          <w:color w:val="E42618"/>
          <w:sz w:val="28"/>
          <w:szCs w:val="28"/>
        </w:rPr>
        <w:t xml:space="preserve"> </w:t>
      </w:r>
      <w:r w:rsidR="00B90F69" w:rsidRPr="00B90F69">
        <w:rPr>
          <w:rFonts w:ascii="Arial Narrow" w:hAnsi="Arial Narrow" w:cs="Arial"/>
          <w:b/>
          <w:bCs/>
          <w:color w:val="E42618"/>
          <w:sz w:val="28"/>
          <w:szCs w:val="28"/>
        </w:rPr>
        <w:t>ANNI</w:t>
      </w:r>
      <w:r w:rsidRPr="00132A04">
        <w:rPr>
          <w:rFonts w:ascii="Arial Narrow" w:hAnsi="Arial Narrow" w:cs="Arial"/>
          <w:b/>
          <w:bCs/>
          <w:color w:val="E42618"/>
          <w:sz w:val="28"/>
          <w:szCs w:val="28"/>
        </w:rPr>
        <w:t xml:space="preserve"> 201</w:t>
      </w:r>
      <w:r w:rsidR="00E5002D" w:rsidRPr="00132A04">
        <w:rPr>
          <w:rFonts w:ascii="Arial Narrow" w:hAnsi="Arial Narrow" w:cs="Arial"/>
          <w:b/>
          <w:bCs/>
          <w:color w:val="E42618"/>
          <w:sz w:val="28"/>
          <w:szCs w:val="28"/>
        </w:rPr>
        <w:t>5</w:t>
      </w:r>
      <w:r w:rsidRPr="00132A04">
        <w:rPr>
          <w:rFonts w:ascii="Arial Narrow" w:hAnsi="Arial Narrow" w:cs="Arial"/>
          <w:b/>
          <w:bCs/>
          <w:color w:val="E42618"/>
          <w:sz w:val="28"/>
          <w:szCs w:val="28"/>
        </w:rPr>
        <w:t>-201</w:t>
      </w:r>
      <w:r w:rsidR="00E5002D" w:rsidRPr="00132A04">
        <w:rPr>
          <w:rFonts w:ascii="Arial Narrow" w:hAnsi="Arial Narrow" w:cs="Arial"/>
          <w:b/>
          <w:bCs/>
          <w:color w:val="E42618"/>
          <w:sz w:val="28"/>
          <w:szCs w:val="28"/>
        </w:rPr>
        <w:t>8</w:t>
      </w:r>
    </w:p>
    <w:p w14:paraId="6ACAEE82" w14:textId="77777777" w:rsidR="00A2532B" w:rsidRPr="00132A04" w:rsidRDefault="00A2532B" w:rsidP="00A2532B">
      <w:pPr>
        <w:spacing w:after="120"/>
        <w:rPr>
          <w:rFonts w:ascii="Arial Narrow" w:hAnsi="Arial Narrow" w:cs="Arial"/>
          <w:color w:val="1F497D" w:themeColor="text2"/>
          <w:sz w:val="18"/>
          <w:szCs w:val="18"/>
        </w:rPr>
      </w:pPr>
    </w:p>
    <w:p w14:paraId="062CF03C" w14:textId="291EA53E" w:rsidR="007878AB" w:rsidRPr="00132A04" w:rsidRDefault="00230DD7">
      <w:pPr>
        <w:tabs>
          <w:tab w:val="left" w:pos="851"/>
        </w:tabs>
        <w:autoSpaceDE w:val="0"/>
        <w:autoSpaceDN w:val="0"/>
        <w:adjustRightInd w:val="0"/>
        <w:jc w:val="both"/>
        <w:rPr>
          <w:rFonts w:ascii="Georgia" w:hAnsi="Georgia" w:cs="Arial"/>
          <w:bCs/>
          <w:color w:val="1F497D" w:themeColor="text2"/>
          <w:spacing w:val="-16"/>
          <w:sz w:val="50"/>
          <w:szCs w:val="50"/>
        </w:rPr>
      </w:pPr>
      <w:r w:rsidRPr="00132A04">
        <w:rPr>
          <w:rFonts w:ascii="Georgia" w:hAnsi="Georgia" w:cs="Arial"/>
          <w:bCs/>
          <w:color w:val="1F497D" w:themeColor="text2"/>
          <w:spacing w:val="-16"/>
          <w:sz w:val="50"/>
          <w:szCs w:val="50"/>
        </w:rPr>
        <w:t xml:space="preserve">Italia al primo posto </w:t>
      </w:r>
      <w:r w:rsidR="007878AB" w:rsidRPr="00132A04">
        <w:rPr>
          <w:rFonts w:ascii="Georgia" w:hAnsi="Georgia" w:cs="Arial"/>
          <w:bCs/>
          <w:color w:val="1F497D" w:themeColor="text2"/>
          <w:spacing w:val="-16"/>
          <w:sz w:val="50"/>
          <w:szCs w:val="50"/>
        </w:rPr>
        <w:t>nell’</w:t>
      </w:r>
      <w:r w:rsidRPr="00132A04">
        <w:rPr>
          <w:rFonts w:ascii="Georgia" w:hAnsi="Georgia" w:cs="Arial"/>
          <w:bCs/>
          <w:color w:val="1F497D" w:themeColor="text2"/>
          <w:spacing w:val="-16"/>
          <w:sz w:val="50"/>
          <w:szCs w:val="50"/>
        </w:rPr>
        <w:t>U</w:t>
      </w:r>
      <w:r w:rsidR="007878AB" w:rsidRPr="00132A04">
        <w:rPr>
          <w:rFonts w:ascii="Georgia" w:hAnsi="Georgia" w:cs="Arial"/>
          <w:bCs/>
          <w:color w:val="1F497D" w:themeColor="text2"/>
          <w:spacing w:val="-16"/>
          <w:sz w:val="50"/>
          <w:szCs w:val="50"/>
        </w:rPr>
        <w:t>e</w:t>
      </w:r>
      <w:r w:rsidRPr="00132A04">
        <w:rPr>
          <w:rFonts w:ascii="Georgia" w:hAnsi="Georgia" w:cs="Arial"/>
          <w:bCs/>
          <w:color w:val="1F497D" w:themeColor="text2"/>
          <w:spacing w:val="-16"/>
          <w:sz w:val="50"/>
          <w:szCs w:val="50"/>
        </w:rPr>
        <w:t xml:space="preserve"> per </w:t>
      </w:r>
      <w:r w:rsidR="00CD6E68" w:rsidRPr="00132A04">
        <w:rPr>
          <w:rFonts w:ascii="Georgia" w:hAnsi="Georgia" w:cs="Arial"/>
          <w:bCs/>
          <w:color w:val="1F497D" w:themeColor="text2"/>
          <w:spacing w:val="-16"/>
          <w:sz w:val="50"/>
          <w:szCs w:val="50"/>
        </w:rPr>
        <w:t xml:space="preserve">i prelievi </w:t>
      </w:r>
      <w:r w:rsidR="0054762D" w:rsidRPr="00132A04">
        <w:rPr>
          <w:rFonts w:ascii="Georgia" w:hAnsi="Georgia" w:cs="Arial"/>
          <w:bCs/>
          <w:color w:val="1F497D" w:themeColor="text2"/>
          <w:spacing w:val="-16"/>
          <w:sz w:val="50"/>
          <w:szCs w:val="50"/>
        </w:rPr>
        <w:t xml:space="preserve">di </w:t>
      </w:r>
      <w:r w:rsidRPr="00132A04">
        <w:rPr>
          <w:rFonts w:ascii="Georgia" w:hAnsi="Georgia" w:cs="Arial"/>
          <w:bCs/>
          <w:color w:val="1F497D" w:themeColor="text2"/>
          <w:spacing w:val="-16"/>
          <w:sz w:val="50"/>
          <w:szCs w:val="50"/>
        </w:rPr>
        <w:t xml:space="preserve">acqua </w:t>
      </w:r>
      <w:r w:rsidR="00E472AB" w:rsidRPr="00132A04">
        <w:rPr>
          <w:rFonts w:ascii="Georgia" w:hAnsi="Georgia" w:cs="Arial"/>
          <w:bCs/>
          <w:color w:val="1F497D" w:themeColor="text2"/>
          <w:spacing w:val="-16"/>
          <w:sz w:val="50"/>
          <w:szCs w:val="50"/>
        </w:rPr>
        <w:t>a</w:t>
      </w:r>
      <w:r w:rsidR="00CD6E68" w:rsidRPr="00132A04">
        <w:rPr>
          <w:rFonts w:ascii="Georgia" w:hAnsi="Georgia" w:cs="Arial"/>
          <w:bCs/>
          <w:color w:val="1F497D" w:themeColor="text2"/>
          <w:spacing w:val="-16"/>
          <w:sz w:val="50"/>
          <w:szCs w:val="50"/>
        </w:rPr>
        <w:t xml:space="preserve"> uso </w:t>
      </w:r>
      <w:r w:rsidRPr="00132A04">
        <w:rPr>
          <w:rFonts w:ascii="Georgia" w:hAnsi="Georgia" w:cs="Arial"/>
          <w:bCs/>
          <w:color w:val="1F497D" w:themeColor="text2"/>
          <w:spacing w:val="-16"/>
          <w:sz w:val="50"/>
          <w:szCs w:val="50"/>
        </w:rPr>
        <w:t xml:space="preserve">potabile: </w:t>
      </w:r>
      <w:r w:rsidR="0018414D" w:rsidRPr="00132A04">
        <w:rPr>
          <w:rFonts w:ascii="Georgia" w:hAnsi="Georgia" w:cs="Arial"/>
          <w:bCs/>
          <w:color w:val="1F497D" w:themeColor="text2"/>
          <w:spacing w:val="-16"/>
          <w:sz w:val="50"/>
          <w:szCs w:val="50"/>
        </w:rPr>
        <w:t>428 litri per abitante al giorno</w:t>
      </w:r>
    </w:p>
    <w:p w14:paraId="0508DCC8" w14:textId="4B5611F5" w:rsidR="00E472AB" w:rsidRPr="00132A04" w:rsidRDefault="00B90F69">
      <w:pPr>
        <w:tabs>
          <w:tab w:val="left" w:pos="851"/>
        </w:tabs>
        <w:autoSpaceDE w:val="0"/>
        <w:autoSpaceDN w:val="0"/>
        <w:adjustRightInd w:val="0"/>
        <w:jc w:val="both"/>
        <w:rPr>
          <w:rFonts w:ascii="Georgia" w:hAnsi="Georgia" w:cs="Arial"/>
          <w:bCs/>
          <w:color w:val="1F497D" w:themeColor="text2"/>
          <w:sz w:val="28"/>
          <w:szCs w:val="28"/>
        </w:rPr>
      </w:pPr>
      <w:r w:rsidRPr="00132A04">
        <w:rPr>
          <w:rFonts w:ascii="Georgia" w:hAnsi="Georgia" w:cs="Arial"/>
          <w:bCs/>
          <w:noProof/>
          <w:color w:val="1F497D" w:themeColor="text2"/>
          <w:sz w:val="28"/>
          <w:szCs w:val="28"/>
        </w:rPr>
        <mc:AlternateContent>
          <mc:Choice Requires="wps">
            <w:drawing>
              <wp:anchor distT="0" distB="0" distL="114300" distR="114300" simplePos="0" relativeHeight="251687936" behindDoc="0" locked="0" layoutInCell="1" allowOverlap="1" wp14:anchorId="6F942F8B" wp14:editId="1C935FCD">
                <wp:simplePos x="0" y="0"/>
                <wp:positionH relativeFrom="column">
                  <wp:posOffset>-528955</wp:posOffset>
                </wp:positionH>
                <wp:positionV relativeFrom="paragraph">
                  <wp:posOffset>168910</wp:posOffset>
                </wp:positionV>
                <wp:extent cx="438150" cy="381000"/>
                <wp:effectExtent l="0" t="19050" r="38100" b="38100"/>
                <wp:wrapNone/>
                <wp:docPr id="17" name="Freccia a destr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7" o:spid="_x0000_s1026" type="#_x0000_t13" style="position:absolute;margin-left:-41.65pt;margin-top:13.3pt;width:34.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" adj="12209" fillcolor="#e42618" strokecolor="#e42618" strokeweight="2pt">
                <v:path arrowok="t"/>
              </v:shape>
            </w:pict>
          </mc:Fallback>
        </mc:AlternateContent>
      </w:r>
    </w:p>
    <w:p w14:paraId="400A93DD" w14:textId="0E7C22F7" w:rsidR="00E472AB" w:rsidRDefault="009E1274"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Poco meno della</w:t>
      </w:r>
      <w:r w:rsidR="005F21EE" w:rsidRPr="005F21EE">
        <w:rPr>
          <w:rFonts w:ascii="Georgia" w:hAnsi="Georgia" w:cs="Arial"/>
          <w:bCs/>
          <w:color w:val="1F497D" w:themeColor="text2"/>
          <w:sz w:val="28"/>
          <w:szCs w:val="28"/>
        </w:rPr>
        <w:t xml:space="preserve"> metà del volume di acqua prelevata alla fonte (</w:t>
      </w:r>
      <w:r>
        <w:rPr>
          <w:rFonts w:ascii="Georgia" w:hAnsi="Georgia" w:cs="Arial"/>
          <w:b/>
          <w:bCs/>
          <w:color w:val="1F497D" w:themeColor="text2"/>
          <w:sz w:val="28"/>
          <w:szCs w:val="28"/>
        </w:rPr>
        <w:t>47,9</w:t>
      </w:r>
      <w:r w:rsidR="005F21EE" w:rsidRPr="009E1274">
        <w:rPr>
          <w:rFonts w:ascii="Georgia" w:hAnsi="Georgia" w:cs="Arial"/>
          <w:b/>
          <w:bCs/>
          <w:color w:val="1F497D" w:themeColor="text2"/>
          <w:sz w:val="28"/>
          <w:szCs w:val="28"/>
        </w:rPr>
        <w:t>%</w:t>
      </w:r>
      <w:r w:rsidR="005F21EE" w:rsidRPr="005F21EE">
        <w:rPr>
          <w:rFonts w:ascii="Georgia" w:hAnsi="Georgia" w:cs="Arial"/>
          <w:bCs/>
          <w:color w:val="1F497D" w:themeColor="text2"/>
          <w:sz w:val="28"/>
          <w:szCs w:val="28"/>
        </w:rPr>
        <w:t>) non raggiunge gli utenti finali</w:t>
      </w:r>
      <w:r w:rsidR="00B05E22">
        <w:rPr>
          <w:rFonts w:ascii="Georgia" w:hAnsi="Georgia" w:cs="Arial"/>
          <w:bCs/>
          <w:color w:val="1F497D" w:themeColor="text2"/>
          <w:sz w:val="28"/>
          <w:szCs w:val="28"/>
        </w:rPr>
        <w:t xml:space="preserve"> </w:t>
      </w:r>
      <w:r w:rsidR="00B05E22" w:rsidRPr="005F21EE">
        <w:rPr>
          <w:rFonts w:ascii="Georgia" w:hAnsi="Georgia" w:cs="Arial"/>
          <w:bCs/>
          <w:color w:val="1F497D" w:themeColor="text2"/>
          <w:sz w:val="28"/>
          <w:szCs w:val="28"/>
        </w:rPr>
        <w:t xml:space="preserve">a causa delle </w:t>
      </w:r>
      <w:r w:rsidR="00792D1B">
        <w:rPr>
          <w:rFonts w:ascii="Georgia" w:hAnsi="Georgia" w:cs="Arial"/>
          <w:b/>
          <w:bCs/>
          <w:color w:val="1F497D" w:themeColor="text2"/>
          <w:sz w:val="28"/>
          <w:szCs w:val="28"/>
        </w:rPr>
        <w:t>dispersioni</w:t>
      </w:r>
      <w:r w:rsidR="00340F38">
        <w:rPr>
          <w:rFonts w:ascii="Georgia" w:hAnsi="Georgia" w:cs="Arial"/>
          <w:b/>
          <w:bCs/>
          <w:color w:val="1F497D" w:themeColor="text2"/>
          <w:sz w:val="28"/>
          <w:szCs w:val="28"/>
        </w:rPr>
        <w:t xml:space="preserve"> </w:t>
      </w:r>
      <w:r w:rsidR="00B05E22" w:rsidRPr="009E1274">
        <w:rPr>
          <w:rFonts w:ascii="Georgia" w:hAnsi="Georgia" w:cs="Arial"/>
          <w:b/>
          <w:bCs/>
          <w:color w:val="1F497D" w:themeColor="text2"/>
          <w:sz w:val="28"/>
          <w:szCs w:val="28"/>
        </w:rPr>
        <w:t>idriche</w:t>
      </w:r>
      <w:r w:rsidR="00B05E22" w:rsidRPr="005F21EE">
        <w:rPr>
          <w:rFonts w:ascii="Georgia" w:hAnsi="Georgia" w:cs="Arial"/>
          <w:bCs/>
          <w:color w:val="1F497D" w:themeColor="text2"/>
          <w:sz w:val="28"/>
          <w:szCs w:val="28"/>
        </w:rPr>
        <w:t xml:space="preserve"> </w:t>
      </w:r>
      <w:r w:rsidR="009F34DA">
        <w:rPr>
          <w:rFonts w:ascii="Georgia" w:hAnsi="Georgia" w:cs="Arial"/>
          <w:bCs/>
          <w:color w:val="1F497D" w:themeColor="text2"/>
          <w:sz w:val="28"/>
          <w:szCs w:val="28"/>
        </w:rPr>
        <w:t>da</w:t>
      </w:r>
      <w:r w:rsidR="00340F38">
        <w:rPr>
          <w:rFonts w:ascii="Georgia" w:hAnsi="Georgia" w:cs="Arial"/>
          <w:bCs/>
          <w:color w:val="1F497D" w:themeColor="text2"/>
          <w:sz w:val="28"/>
          <w:szCs w:val="28"/>
        </w:rPr>
        <w:t>lle</w:t>
      </w:r>
      <w:r w:rsidR="00B05E22" w:rsidRPr="005F21EE">
        <w:rPr>
          <w:rFonts w:ascii="Georgia" w:hAnsi="Georgia" w:cs="Arial"/>
          <w:bCs/>
          <w:color w:val="1F497D" w:themeColor="text2"/>
          <w:sz w:val="28"/>
          <w:szCs w:val="28"/>
        </w:rPr>
        <w:t xml:space="preserve"> ret</w:t>
      </w:r>
      <w:r w:rsidR="00340F38">
        <w:rPr>
          <w:rFonts w:ascii="Georgia" w:hAnsi="Georgia" w:cs="Arial"/>
          <w:bCs/>
          <w:color w:val="1F497D" w:themeColor="text2"/>
          <w:sz w:val="28"/>
          <w:szCs w:val="28"/>
        </w:rPr>
        <w:t>i di adduzione e distribuzione</w:t>
      </w:r>
      <w:r w:rsidR="00AC3EC1">
        <w:rPr>
          <w:rFonts w:ascii="Georgia" w:hAnsi="Georgia" w:cs="Arial"/>
          <w:bCs/>
          <w:color w:val="1F497D" w:themeColor="text2"/>
          <w:sz w:val="28"/>
          <w:szCs w:val="28"/>
        </w:rPr>
        <w:t>.</w:t>
      </w:r>
    </w:p>
    <w:p w14:paraId="70D74964" w14:textId="72A19D79" w:rsidR="005F21EE" w:rsidRDefault="00B05E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sidRPr="00952267">
        <w:rPr>
          <w:rFonts w:ascii="Georgia" w:hAnsi="Georgia" w:cs="Arial"/>
          <w:b/>
          <w:bCs/>
          <w:color w:val="1F497D" w:themeColor="text2"/>
          <w:sz w:val="28"/>
          <w:szCs w:val="28"/>
        </w:rPr>
        <w:t>11</w:t>
      </w:r>
      <w:r w:rsidRPr="00AC3EC1">
        <w:rPr>
          <w:rFonts w:ascii="Georgia" w:hAnsi="Georgia" w:cs="Arial"/>
          <w:bCs/>
          <w:color w:val="1F497D" w:themeColor="text2"/>
          <w:sz w:val="28"/>
          <w:szCs w:val="28"/>
        </w:rPr>
        <w:t xml:space="preserve"> </w:t>
      </w:r>
      <w:r w:rsidR="00AC3EC1" w:rsidRPr="00427FDB">
        <w:rPr>
          <w:rFonts w:ascii="Georgia" w:hAnsi="Georgia" w:cs="Arial"/>
          <w:b/>
          <w:bCs/>
          <w:color w:val="1F497D" w:themeColor="text2"/>
          <w:sz w:val="28"/>
          <w:szCs w:val="28"/>
        </w:rPr>
        <w:t xml:space="preserve">comuni </w:t>
      </w:r>
      <w:r w:rsidR="00AC3EC1" w:rsidRPr="00952267">
        <w:rPr>
          <w:rFonts w:ascii="Georgia" w:hAnsi="Georgia" w:cs="Arial"/>
          <w:bCs/>
          <w:color w:val="1F497D" w:themeColor="text2"/>
          <w:sz w:val="28"/>
          <w:szCs w:val="28"/>
        </w:rPr>
        <w:t>capoluogo di provincia</w:t>
      </w:r>
      <w:r w:rsidR="00A2056C">
        <w:rPr>
          <w:rFonts w:ascii="Georgia" w:hAnsi="Georgia" w:cs="Arial"/>
          <w:bCs/>
          <w:color w:val="1F497D" w:themeColor="text2"/>
          <w:sz w:val="28"/>
          <w:szCs w:val="28"/>
        </w:rPr>
        <w:t>/</w:t>
      </w:r>
      <w:r w:rsidR="00AC3EC1" w:rsidRPr="00952267">
        <w:rPr>
          <w:rFonts w:ascii="Georgia" w:hAnsi="Georgia" w:cs="Arial"/>
          <w:bCs/>
          <w:color w:val="1F497D" w:themeColor="text2"/>
          <w:sz w:val="28"/>
          <w:szCs w:val="28"/>
        </w:rPr>
        <w:t>città metropolitana</w:t>
      </w:r>
      <w:r w:rsidR="00AC3EC1" w:rsidRPr="00AC3EC1">
        <w:rPr>
          <w:rFonts w:ascii="Georgia" w:hAnsi="Georgia" w:cs="Arial"/>
          <w:bCs/>
          <w:color w:val="1F497D" w:themeColor="text2"/>
          <w:sz w:val="28"/>
          <w:szCs w:val="28"/>
        </w:rPr>
        <w:t xml:space="preserve"> interessati nel 2017 da misure di </w:t>
      </w:r>
      <w:r w:rsidR="00AC3EC1" w:rsidRPr="00427FDB">
        <w:rPr>
          <w:rFonts w:ascii="Georgia" w:hAnsi="Georgia" w:cs="Arial"/>
          <w:b/>
          <w:bCs/>
          <w:color w:val="1F497D" w:themeColor="text2"/>
          <w:sz w:val="28"/>
          <w:szCs w:val="28"/>
        </w:rPr>
        <w:t>razionamento</w:t>
      </w:r>
      <w:r w:rsidR="00AC3EC1" w:rsidRPr="00AC3EC1">
        <w:rPr>
          <w:rFonts w:ascii="Georgia" w:hAnsi="Georgia" w:cs="Arial"/>
          <w:bCs/>
          <w:color w:val="1F497D" w:themeColor="text2"/>
          <w:sz w:val="28"/>
          <w:szCs w:val="28"/>
        </w:rPr>
        <w:t xml:space="preserve"> nella distribuzione dell’acqua per uso civile</w:t>
      </w:r>
      <w:r>
        <w:rPr>
          <w:rFonts w:ascii="Georgia" w:hAnsi="Georgia" w:cs="Arial"/>
          <w:bCs/>
          <w:color w:val="1F497D" w:themeColor="text2"/>
          <w:sz w:val="28"/>
          <w:szCs w:val="28"/>
        </w:rPr>
        <w:t>,</w:t>
      </w:r>
      <w:r w:rsidR="00AC3EC1" w:rsidRPr="00AC3EC1">
        <w:rPr>
          <w:rFonts w:ascii="Georgia" w:hAnsi="Georgia" w:cs="Arial"/>
          <w:bCs/>
          <w:color w:val="1F497D" w:themeColor="text2"/>
          <w:sz w:val="28"/>
          <w:szCs w:val="28"/>
        </w:rPr>
        <w:t xml:space="preserve"> </w:t>
      </w:r>
      <w:r w:rsidR="00BE4234">
        <w:rPr>
          <w:rFonts w:ascii="Georgia" w:hAnsi="Georgia" w:cs="Arial"/>
          <w:bCs/>
          <w:color w:val="1F497D" w:themeColor="text2"/>
          <w:sz w:val="28"/>
          <w:szCs w:val="28"/>
        </w:rPr>
        <w:t xml:space="preserve">quasi </w:t>
      </w:r>
      <w:r w:rsidR="00AC3EC1" w:rsidRPr="00AC3EC1">
        <w:rPr>
          <w:rFonts w:ascii="Georgia" w:hAnsi="Georgia" w:cs="Arial"/>
          <w:bCs/>
          <w:color w:val="1F497D" w:themeColor="text2"/>
          <w:sz w:val="28"/>
          <w:szCs w:val="28"/>
        </w:rPr>
        <w:t>tutti ub</w:t>
      </w:r>
      <w:r w:rsidR="00AC3EC1">
        <w:rPr>
          <w:rFonts w:ascii="Georgia" w:hAnsi="Georgia" w:cs="Arial"/>
          <w:bCs/>
          <w:color w:val="1F497D" w:themeColor="text2"/>
          <w:sz w:val="28"/>
          <w:szCs w:val="28"/>
        </w:rPr>
        <w:t>icati nell’area del Mezzogiorno</w:t>
      </w:r>
      <w:r w:rsidR="00AC3EC1" w:rsidRPr="00AC3EC1">
        <w:rPr>
          <w:rFonts w:ascii="Georgia" w:hAnsi="Georgia" w:cs="Arial"/>
          <w:bCs/>
          <w:color w:val="1F497D" w:themeColor="text2"/>
          <w:sz w:val="28"/>
          <w:szCs w:val="28"/>
        </w:rPr>
        <w:t>.</w:t>
      </w:r>
    </w:p>
    <w:p w14:paraId="0E2785CE" w14:textId="7BBF13FA" w:rsidR="005F21EE" w:rsidRDefault="00CC053C"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sidRPr="00CC053C">
        <w:rPr>
          <w:rFonts w:ascii="Georgia" w:hAnsi="Georgia" w:cs="Arial"/>
          <w:bCs/>
          <w:color w:val="1F497D" w:themeColor="text2"/>
          <w:sz w:val="28"/>
          <w:szCs w:val="28"/>
        </w:rPr>
        <w:t xml:space="preserve">Le acque di balneazione </w:t>
      </w:r>
      <w:r w:rsidR="00B64244">
        <w:rPr>
          <w:rFonts w:ascii="Georgia" w:hAnsi="Georgia" w:cs="Arial"/>
          <w:bCs/>
          <w:color w:val="1F497D" w:themeColor="text2"/>
          <w:sz w:val="28"/>
          <w:szCs w:val="28"/>
        </w:rPr>
        <w:t>con</w:t>
      </w:r>
      <w:r w:rsidR="00B64244" w:rsidRPr="00CC053C">
        <w:rPr>
          <w:rFonts w:ascii="Georgia" w:hAnsi="Georgia" w:cs="Arial"/>
          <w:bCs/>
          <w:color w:val="1F497D" w:themeColor="text2"/>
          <w:sz w:val="28"/>
          <w:szCs w:val="28"/>
        </w:rPr>
        <w:t xml:space="preserve"> </w:t>
      </w:r>
      <w:r w:rsidRPr="00952267">
        <w:rPr>
          <w:rFonts w:ascii="Georgia" w:hAnsi="Georgia" w:cs="Arial"/>
          <w:b/>
          <w:bCs/>
          <w:color w:val="1F497D" w:themeColor="text2"/>
          <w:sz w:val="28"/>
          <w:szCs w:val="28"/>
        </w:rPr>
        <w:t>qualità scarsa</w:t>
      </w:r>
      <w:r w:rsidRPr="00CC053C">
        <w:rPr>
          <w:rFonts w:ascii="Georgia" w:hAnsi="Georgia" w:cs="Arial"/>
          <w:bCs/>
          <w:color w:val="1F497D" w:themeColor="text2"/>
          <w:sz w:val="28"/>
          <w:szCs w:val="28"/>
        </w:rPr>
        <w:t xml:space="preserve"> </w:t>
      </w:r>
      <w:r w:rsidR="00B05E22">
        <w:rPr>
          <w:rFonts w:ascii="Georgia" w:hAnsi="Georgia" w:cs="Arial"/>
          <w:bCs/>
          <w:color w:val="1F497D" w:themeColor="text2"/>
          <w:sz w:val="28"/>
          <w:szCs w:val="28"/>
        </w:rPr>
        <w:t>so</w:t>
      </w:r>
      <w:r w:rsidR="00B05E22" w:rsidRPr="00CC053C">
        <w:rPr>
          <w:rFonts w:ascii="Georgia" w:hAnsi="Georgia" w:cs="Arial"/>
          <w:bCs/>
          <w:color w:val="1F497D" w:themeColor="text2"/>
          <w:sz w:val="28"/>
          <w:szCs w:val="28"/>
        </w:rPr>
        <w:t xml:space="preserve">no </w:t>
      </w:r>
      <w:r w:rsidRPr="00CC053C">
        <w:rPr>
          <w:rFonts w:ascii="Georgia" w:hAnsi="Georgia" w:cs="Arial"/>
          <w:bCs/>
          <w:color w:val="1F497D" w:themeColor="text2"/>
          <w:sz w:val="28"/>
          <w:szCs w:val="28"/>
        </w:rPr>
        <w:t xml:space="preserve">appena lo </w:t>
      </w:r>
      <w:r w:rsidRPr="00952267">
        <w:rPr>
          <w:rFonts w:ascii="Georgia" w:hAnsi="Georgia" w:cs="Arial"/>
          <w:b/>
          <w:bCs/>
          <w:color w:val="1F497D" w:themeColor="text2"/>
          <w:sz w:val="28"/>
          <w:szCs w:val="28"/>
        </w:rPr>
        <w:t>0,8%</w:t>
      </w:r>
      <w:r w:rsidR="00803C16">
        <w:rPr>
          <w:rFonts w:ascii="Georgia" w:hAnsi="Georgia" w:cs="Arial"/>
          <w:b/>
          <w:bCs/>
          <w:color w:val="1F497D" w:themeColor="text2"/>
          <w:sz w:val="28"/>
          <w:szCs w:val="28"/>
        </w:rPr>
        <w:t xml:space="preserve"> della </w:t>
      </w:r>
      <w:r w:rsidR="005B3E83">
        <w:rPr>
          <w:rFonts w:ascii="Georgia" w:hAnsi="Georgia" w:cs="Arial"/>
          <w:b/>
          <w:bCs/>
          <w:color w:val="1F497D" w:themeColor="text2"/>
          <w:sz w:val="28"/>
          <w:szCs w:val="28"/>
        </w:rPr>
        <w:t>costa italiana</w:t>
      </w:r>
      <w:r w:rsidR="00A721E2">
        <w:rPr>
          <w:rFonts w:ascii="Georgia" w:hAnsi="Georgia" w:cs="Arial"/>
          <w:b/>
          <w:bCs/>
          <w:color w:val="1F497D" w:themeColor="text2"/>
          <w:sz w:val="28"/>
          <w:szCs w:val="28"/>
        </w:rPr>
        <w:t xml:space="preserve"> monitorata</w:t>
      </w:r>
      <w:r w:rsidRPr="00CC053C">
        <w:rPr>
          <w:rFonts w:ascii="Georgia" w:hAnsi="Georgia" w:cs="Arial"/>
          <w:bCs/>
          <w:color w:val="1F497D" w:themeColor="text2"/>
          <w:sz w:val="28"/>
          <w:szCs w:val="28"/>
        </w:rPr>
        <w:t xml:space="preserve">. </w:t>
      </w:r>
      <w:r w:rsidR="00A72D04">
        <w:rPr>
          <w:rFonts w:ascii="Georgia" w:hAnsi="Georgia" w:cs="Arial"/>
          <w:bCs/>
          <w:color w:val="1F497D" w:themeColor="text2"/>
          <w:sz w:val="28"/>
          <w:szCs w:val="28"/>
        </w:rPr>
        <w:t>Gli scarichi delle</w:t>
      </w:r>
      <w:r w:rsidR="00A72D04" w:rsidRPr="00CC053C">
        <w:rPr>
          <w:rFonts w:ascii="Georgia" w:hAnsi="Georgia" w:cs="Arial"/>
          <w:bCs/>
          <w:color w:val="1F497D" w:themeColor="text2"/>
          <w:sz w:val="28"/>
          <w:szCs w:val="28"/>
        </w:rPr>
        <w:t xml:space="preserve"> acque reflue urbane </w:t>
      </w:r>
      <w:r w:rsidR="00A72D04">
        <w:rPr>
          <w:rFonts w:ascii="Georgia" w:hAnsi="Georgia" w:cs="Arial"/>
          <w:bCs/>
          <w:color w:val="1F497D" w:themeColor="text2"/>
          <w:sz w:val="28"/>
          <w:szCs w:val="28"/>
        </w:rPr>
        <w:t xml:space="preserve">sono la </w:t>
      </w:r>
      <w:r w:rsidR="00A72D04" w:rsidRPr="00CC053C">
        <w:rPr>
          <w:rFonts w:ascii="Georgia" w:hAnsi="Georgia" w:cs="Arial"/>
          <w:bCs/>
          <w:color w:val="1F497D" w:themeColor="text2"/>
          <w:sz w:val="28"/>
          <w:szCs w:val="28"/>
        </w:rPr>
        <w:t>causa principale dei divieti di balneazione</w:t>
      </w:r>
      <w:r w:rsidR="00A72D04">
        <w:rPr>
          <w:rFonts w:ascii="Georgia" w:hAnsi="Georgia" w:cs="Arial"/>
          <w:bCs/>
          <w:color w:val="1F497D" w:themeColor="text2"/>
          <w:sz w:val="28"/>
          <w:szCs w:val="28"/>
        </w:rPr>
        <w:t>.</w:t>
      </w:r>
    </w:p>
    <w:p w14:paraId="15D57FBB" w14:textId="60E2A2C7" w:rsidR="00CA2526" w:rsidRDefault="00CA2526"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noProof/>
          <w:color w:val="1F497D" w:themeColor="text2"/>
          <w:sz w:val="28"/>
          <w:szCs w:val="28"/>
        </w:rPr>
        <w:drawing>
          <wp:anchor distT="0" distB="0" distL="114300" distR="114300" simplePos="0" relativeHeight="251693056" behindDoc="0" locked="0" layoutInCell="1" allowOverlap="1" wp14:anchorId="72BB88E1" wp14:editId="39629F14">
            <wp:simplePos x="0" y="0"/>
            <wp:positionH relativeFrom="column">
              <wp:posOffset>-540385</wp:posOffset>
            </wp:positionH>
            <wp:positionV relativeFrom="paragraph">
              <wp:posOffset>264795</wp:posOffset>
            </wp:positionV>
            <wp:extent cx="7548880" cy="2937510"/>
            <wp:effectExtent l="0" t="0" r="0" b="0"/>
            <wp:wrapNone/>
            <wp:docPr id="8" name="Immagine 8" descr="C:\Users\tononi\Desktop\ritaglio infografica ac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oni\Desktop\ritaglio infografica acqu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88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E1A8A" w14:textId="0C8EE48D"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308D2488" w14:textId="15662561"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31BF4DBF" w14:textId="02F43B10"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13167826" w14:textId="609D6990"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600C0286" w14:textId="2E6F75F4"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47C9BBC6" w14:textId="57980067"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213586C1" w14:textId="3C67661B"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1D7F5C34" w14:textId="77777777"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0A7B6484" w14:textId="1A8D800B" w:rsidR="00192922" w:rsidRDefault="00192922" w:rsidP="00132A04">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p w14:paraId="14EA77D4" w14:textId="77777777" w:rsidR="00C65721" w:rsidRPr="0058002A" w:rsidRDefault="00C65721" w:rsidP="000467F2">
      <w:pPr>
        <w:rPr>
          <w:rFonts w:ascii="Arial" w:hAnsi="Arial" w:cs="Arial"/>
          <w:iCs/>
          <w:noProof/>
          <w:color w:val="000000"/>
          <w:sz w:val="20"/>
          <w:szCs w:val="20"/>
        </w:rPr>
        <w:sectPr w:rsidR="00C65721" w:rsidRPr="0058002A" w:rsidSect="001A62B5">
          <w:footerReference w:type="even" r:id="rId9"/>
          <w:footerReference w:type="default" r:id="rId10"/>
          <w:headerReference w:type="first" r:id="rId11"/>
          <w:footerReference w:type="first" r:id="rId12"/>
          <w:type w:val="continuous"/>
          <w:pgSz w:w="11906" w:h="16838"/>
          <w:pgMar w:top="787" w:right="851" w:bottom="678" w:left="851" w:header="0" w:footer="0" w:gutter="0"/>
          <w:pgNumType w:start="1"/>
          <w:cols w:space="708"/>
          <w:titlePg/>
          <w:docGrid w:linePitch="360"/>
        </w:sectPr>
      </w:pPr>
    </w:p>
    <w:p w14:paraId="62070615" w14:textId="69C85F7D" w:rsidR="00062F1B" w:rsidRPr="00E62283" w:rsidRDefault="00062F1B" w:rsidP="005109B3">
      <w:pPr>
        <w:autoSpaceDE w:val="0"/>
        <w:autoSpaceDN w:val="0"/>
        <w:adjustRightInd w:val="0"/>
        <w:spacing w:after="120"/>
        <w:jc w:val="both"/>
        <w:rPr>
          <w:rFonts w:ascii="Arial" w:hAnsi="Arial" w:cs="Arial"/>
          <w:sz w:val="22"/>
          <w:szCs w:val="22"/>
        </w:rPr>
      </w:pPr>
      <w:r w:rsidRPr="00E62283">
        <w:rPr>
          <w:rFonts w:ascii="Arial" w:hAnsi="Arial" w:cs="Arial"/>
          <w:sz w:val="22"/>
          <w:szCs w:val="22"/>
        </w:rPr>
        <w:lastRenderedPageBreak/>
        <w:t xml:space="preserve">L'acqua e </w:t>
      </w:r>
      <w:r w:rsidR="005F623C">
        <w:rPr>
          <w:rFonts w:ascii="Arial" w:hAnsi="Arial" w:cs="Arial"/>
          <w:sz w:val="22"/>
          <w:szCs w:val="22"/>
        </w:rPr>
        <w:t>l’insieme dei servizi ad essa correlati</w:t>
      </w:r>
      <w:r w:rsidRPr="00E62283">
        <w:rPr>
          <w:rFonts w:ascii="Arial" w:hAnsi="Arial" w:cs="Arial"/>
          <w:sz w:val="22"/>
          <w:szCs w:val="22"/>
        </w:rPr>
        <w:t xml:space="preserve"> sono </w:t>
      </w:r>
      <w:r w:rsidR="005F623C">
        <w:rPr>
          <w:rFonts w:ascii="Arial" w:hAnsi="Arial" w:cs="Arial"/>
          <w:sz w:val="22"/>
          <w:szCs w:val="22"/>
        </w:rPr>
        <w:t xml:space="preserve">elementi fondamentali per </w:t>
      </w:r>
      <w:r w:rsidRPr="00E62283">
        <w:rPr>
          <w:rFonts w:ascii="Arial" w:hAnsi="Arial" w:cs="Arial"/>
          <w:sz w:val="22"/>
          <w:szCs w:val="22"/>
        </w:rPr>
        <w:t>la crescita economica</w:t>
      </w:r>
      <w:r w:rsidR="00E92E96">
        <w:rPr>
          <w:rFonts w:ascii="Arial" w:hAnsi="Arial" w:cs="Arial"/>
          <w:sz w:val="22"/>
          <w:szCs w:val="22"/>
        </w:rPr>
        <w:t>,</w:t>
      </w:r>
      <w:r w:rsidRPr="00E62283">
        <w:rPr>
          <w:rFonts w:ascii="Arial" w:hAnsi="Arial" w:cs="Arial"/>
          <w:sz w:val="22"/>
          <w:szCs w:val="22"/>
        </w:rPr>
        <w:t xml:space="preserve"> </w:t>
      </w:r>
      <w:r w:rsidR="00E92E96" w:rsidRPr="00E92E96">
        <w:rPr>
          <w:rFonts w:ascii="Arial" w:hAnsi="Arial" w:cs="Arial"/>
          <w:sz w:val="22"/>
          <w:szCs w:val="22"/>
        </w:rPr>
        <w:t xml:space="preserve">il benessere dei cittadini </w:t>
      </w:r>
      <w:r w:rsidRPr="00E62283">
        <w:rPr>
          <w:rFonts w:ascii="Arial" w:hAnsi="Arial" w:cs="Arial"/>
          <w:sz w:val="22"/>
          <w:szCs w:val="22"/>
        </w:rPr>
        <w:t xml:space="preserve">e la sostenibilità ambientale. Monitoraggi costanti e interventi puntuali sono </w:t>
      </w:r>
      <w:r w:rsidR="005F623C">
        <w:rPr>
          <w:rFonts w:ascii="Arial" w:hAnsi="Arial" w:cs="Arial"/>
          <w:sz w:val="22"/>
          <w:szCs w:val="22"/>
        </w:rPr>
        <w:t xml:space="preserve">essenziali </w:t>
      </w:r>
      <w:r w:rsidRPr="00E62283">
        <w:rPr>
          <w:rFonts w:ascii="Arial" w:hAnsi="Arial" w:cs="Arial"/>
          <w:sz w:val="22"/>
          <w:szCs w:val="22"/>
        </w:rPr>
        <w:t>per sviluppare strategie di gestione della risorsa adeguate, come promosso nei 17 obiettivi di sviluppo sostenibile dell’ONU (</w:t>
      </w:r>
      <w:r w:rsidRPr="00951041">
        <w:rPr>
          <w:rFonts w:ascii="Arial" w:hAnsi="Arial" w:cs="Arial"/>
          <w:i/>
          <w:sz w:val="22"/>
          <w:szCs w:val="22"/>
        </w:rPr>
        <w:t>Sustainable Development Goals</w:t>
      </w:r>
      <w:r w:rsidRPr="00E62283">
        <w:rPr>
          <w:rFonts w:ascii="Arial" w:hAnsi="Arial" w:cs="Arial"/>
          <w:sz w:val="22"/>
          <w:szCs w:val="22"/>
        </w:rPr>
        <w:t xml:space="preserve"> – SDGs)</w:t>
      </w:r>
      <w:r w:rsidR="005109B3">
        <w:rPr>
          <w:rFonts w:ascii="Arial" w:hAnsi="Arial" w:cs="Arial"/>
          <w:sz w:val="22"/>
          <w:szCs w:val="22"/>
        </w:rPr>
        <w:t xml:space="preserve">, in particolare nei </w:t>
      </w:r>
      <w:r w:rsidR="005109B3" w:rsidRPr="00951041">
        <w:rPr>
          <w:rFonts w:ascii="Arial" w:hAnsi="Arial" w:cs="Arial"/>
          <w:i/>
          <w:sz w:val="22"/>
          <w:szCs w:val="22"/>
        </w:rPr>
        <w:t>Goals</w:t>
      </w:r>
      <w:r w:rsidR="005109B3">
        <w:rPr>
          <w:rFonts w:ascii="Arial" w:hAnsi="Arial" w:cs="Arial"/>
          <w:sz w:val="22"/>
          <w:szCs w:val="22"/>
        </w:rPr>
        <w:t xml:space="preserve"> 6 </w:t>
      </w:r>
      <w:r w:rsidR="00792D1B">
        <w:rPr>
          <w:rFonts w:ascii="Arial" w:hAnsi="Arial" w:cs="Arial"/>
          <w:sz w:val="22"/>
          <w:szCs w:val="22"/>
        </w:rPr>
        <w:t>(</w:t>
      </w:r>
      <w:r w:rsidR="00951041">
        <w:rPr>
          <w:rFonts w:ascii="Arial" w:hAnsi="Arial" w:cs="Arial"/>
          <w:sz w:val="22"/>
          <w:szCs w:val="22"/>
        </w:rPr>
        <w:t>“</w:t>
      </w:r>
      <w:r w:rsidR="005109B3" w:rsidRPr="005109B3">
        <w:rPr>
          <w:rFonts w:ascii="Arial" w:hAnsi="Arial" w:cs="Arial"/>
          <w:sz w:val="22"/>
          <w:szCs w:val="22"/>
        </w:rPr>
        <w:t>Garantire a tutti la disponibilità e la gestione sostenibile dell'acqua e delle strutture igienico sanitarie</w:t>
      </w:r>
      <w:r w:rsidR="005109B3">
        <w:rPr>
          <w:rFonts w:ascii="Arial" w:hAnsi="Arial" w:cs="Arial"/>
          <w:sz w:val="22"/>
          <w:szCs w:val="22"/>
        </w:rPr>
        <w:t>”</w:t>
      </w:r>
      <w:r w:rsidR="00792D1B">
        <w:rPr>
          <w:rFonts w:ascii="Arial" w:hAnsi="Arial" w:cs="Arial"/>
          <w:sz w:val="22"/>
          <w:szCs w:val="22"/>
        </w:rPr>
        <w:t>)</w:t>
      </w:r>
      <w:r w:rsidR="005109B3">
        <w:rPr>
          <w:rFonts w:ascii="Arial" w:hAnsi="Arial" w:cs="Arial"/>
          <w:sz w:val="22"/>
          <w:szCs w:val="22"/>
        </w:rPr>
        <w:t xml:space="preserve"> e 14 </w:t>
      </w:r>
      <w:r w:rsidR="00792D1B">
        <w:rPr>
          <w:rFonts w:ascii="Arial" w:hAnsi="Arial" w:cs="Arial"/>
          <w:sz w:val="22"/>
          <w:szCs w:val="22"/>
        </w:rPr>
        <w:t>(</w:t>
      </w:r>
      <w:r w:rsidR="005109B3">
        <w:rPr>
          <w:rFonts w:ascii="Arial" w:hAnsi="Arial" w:cs="Arial"/>
          <w:sz w:val="22"/>
          <w:szCs w:val="22"/>
        </w:rPr>
        <w:t>“</w:t>
      </w:r>
      <w:r w:rsidR="005109B3" w:rsidRPr="005109B3">
        <w:rPr>
          <w:rFonts w:ascii="Arial" w:hAnsi="Arial" w:cs="Arial"/>
          <w:sz w:val="22"/>
          <w:szCs w:val="22"/>
        </w:rPr>
        <w:t>Conservare e utilizzare in modo sostenibile gli oceani, i mari e le risorse marine per uno sviluppo sostenibile</w:t>
      </w:r>
      <w:r w:rsidR="005109B3">
        <w:rPr>
          <w:rFonts w:ascii="Arial" w:hAnsi="Arial" w:cs="Arial"/>
          <w:sz w:val="22"/>
          <w:szCs w:val="22"/>
        </w:rPr>
        <w:t>”</w:t>
      </w:r>
      <w:r w:rsidR="00792D1B">
        <w:rPr>
          <w:rFonts w:ascii="Arial" w:hAnsi="Arial" w:cs="Arial"/>
          <w:sz w:val="22"/>
          <w:szCs w:val="22"/>
        </w:rPr>
        <w:t>)</w:t>
      </w:r>
      <w:r w:rsidRPr="00E62283">
        <w:rPr>
          <w:rFonts w:ascii="Arial" w:hAnsi="Arial" w:cs="Arial"/>
          <w:sz w:val="22"/>
          <w:szCs w:val="22"/>
        </w:rPr>
        <w:t>.</w:t>
      </w:r>
    </w:p>
    <w:p w14:paraId="428146A5" w14:textId="26434A00" w:rsidR="00FC3F41" w:rsidRPr="00427FDB" w:rsidRDefault="00062F1B">
      <w:pPr>
        <w:spacing w:after="120"/>
        <w:jc w:val="both"/>
        <w:outlineLvl w:val="0"/>
        <w:rPr>
          <w:rFonts w:ascii="Arial" w:hAnsi="Arial" w:cs="Arial"/>
          <w:sz w:val="22"/>
          <w:szCs w:val="22"/>
          <w:highlight w:val="yellow"/>
        </w:rPr>
      </w:pPr>
      <w:r w:rsidRPr="00427FDB">
        <w:rPr>
          <w:rFonts w:ascii="Arial" w:hAnsi="Arial" w:cs="Arial"/>
          <w:sz w:val="22"/>
          <w:szCs w:val="22"/>
        </w:rPr>
        <w:t>In occasione della Giornata mondiale dell’acqua, istituita dall’ONU e celebrata ogni anno il 22 marzo, l’Istat fornisce un focus annuale e tematico che</w:t>
      </w:r>
      <w:r w:rsidR="00132A04">
        <w:rPr>
          <w:rFonts w:ascii="Arial" w:hAnsi="Arial" w:cs="Arial"/>
          <w:sz w:val="22"/>
          <w:szCs w:val="22"/>
        </w:rPr>
        <w:t>,</w:t>
      </w:r>
      <w:r w:rsidRPr="00427FDB">
        <w:rPr>
          <w:rFonts w:ascii="Arial" w:hAnsi="Arial" w:cs="Arial"/>
          <w:sz w:val="22"/>
          <w:szCs w:val="22"/>
        </w:rPr>
        <w:t xml:space="preserve"> </w:t>
      </w:r>
      <w:r w:rsidR="00C16067">
        <w:rPr>
          <w:rFonts w:ascii="Arial" w:hAnsi="Arial" w:cs="Arial"/>
          <w:sz w:val="22"/>
          <w:szCs w:val="22"/>
        </w:rPr>
        <w:t>a</w:t>
      </w:r>
      <w:r w:rsidRPr="00427FDB">
        <w:rPr>
          <w:rFonts w:ascii="Arial" w:hAnsi="Arial" w:cs="Arial"/>
          <w:sz w:val="22"/>
          <w:szCs w:val="22"/>
        </w:rPr>
        <w:t xml:space="preserve">ttraverso un approccio multi-fonte, </w:t>
      </w:r>
      <w:r w:rsidR="00C16067">
        <w:rPr>
          <w:rFonts w:ascii="Arial" w:hAnsi="Arial" w:cs="Arial"/>
          <w:sz w:val="22"/>
          <w:szCs w:val="22"/>
        </w:rPr>
        <w:t>presenta</w:t>
      </w:r>
      <w:r w:rsidRPr="00427FDB">
        <w:rPr>
          <w:rFonts w:ascii="Arial" w:hAnsi="Arial" w:cs="Arial"/>
          <w:sz w:val="22"/>
          <w:szCs w:val="22"/>
        </w:rPr>
        <w:t xml:space="preserve"> i risultati provenienti da diverse indagini ed elaborazioni</w:t>
      </w:r>
      <w:r w:rsidR="00B71D2D">
        <w:rPr>
          <w:rFonts w:ascii="Arial" w:hAnsi="Arial" w:cs="Arial"/>
          <w:sz w:val="22"/>
          <w:szCs w:val="22"/>
        </w:rPr>
        <w:t>,</w:t>
      </w:r>
      <w:r w:rsidRPr="00427FDB">
        <w:rPr>
          <w:rFonts w:ascii="Arial" w:hAnsi="Arial" w:cs="Arial"/>
          <w:sz w:val="22"/>
          <w:szCs w:val="22"/>
        </w:rPr>
        <w:t xml:space="preserve"> </w:t>
      </w:r>
      <w:r w:rsidR="00C16067">
        <w:rPr>
          <w:rFonts w:ascii="Arial" w:hAnsi="Arial" w:cs="Arial"/>
          <w:sz w:val="22"/>
          <w:szCs w:val="22"/>
        </w:rPr>
        <w:t xml:space="preserve">offrendo </w:t>
      </w:r>
      <w:r w:rsidRPr="00427FDB">
        <w:rPr>
          <w:rFonts w:ascii="Arial" w:hAnsi="Arial" w:cs="Arial"/>
          <w:sz w:val="22"/>
          <w:szCs w:val="22"/>
        </w:rPr>
        <w:t xml:space="preserve">una lettura integrata del fenomeno </w:t>
      </w:r>
      <w:r w:rsidRPr="00E62283">
        <w:rPr>
          <w:rFonts w:ascii="Arial" w:hAnsi="Arial" w:cs="Arial"/>
          <w:sz w:val="22"/>
          <w:szCs w:val="22"/>
        </w:rPr>
        <w:t>con riferimento</w:t>
      </w:r>
      <w:r w:rsidRPr="00427FDB">
        <w:rPr>
          <w:rFonts w:ascii="Arial" w:hAnsi="Arial" w:cs="Arial"/>
          <w:sz w:val="22"/>
          <w:szCs w:val="22"/>
        </w:rPr>
        <w:t xml:space="preserve"> </w:t>
      </w:r>
      <w:r w:rsidRPr="00E62283">
        <w:rPr>
          <w:rFonts w:ascii="Arial" w:hAnsi="Arial" w:cs="Arial"/>
          <w:sz w:val="22"/>
          <w:szCs w:val="22"/>
        </w:rPr>
        <w:t>a</w:t>
      </w:r>
      <w:r w:rsidRPr="00427FDB">
        <w:rPr>
          <w:rFonts w:ascii="Arial" w:hAnsi="Arial" w:cs="Arial"/>
          <w:sz w:val="22"/>
          <w:szCs w:val="22"/>
        </w:rPr>
        <w:t xml:space="preserve">gli aspetti legati </w:t>
      </w:r>
      <w:r w:rsidR="00B71D2D">
        <w:rPr>
          <w:rFonts w:ascii="Arial" w:hAnsi="Arial" w:cs="Arial"/>
          <w:sz w:val="22"/>
          <w:szCs w:val="22"/>
        </w:rPr>
        <w:t xml:space="preserve">sia </w:t>
      </w:r>
      <w:r w:rsidRPr="00427FDB">
        <w:rPr>
          <w:rFonts w:ascii="Arial" w:hAnsi="Arial" w:cs="Arial"/>
          <w:sz w:val="22"/>
          <w:szCs w:val="22"/>
        </w:rPr>
        <w:t xml:space="preserve">al territorio </w:t>
      </w:r>
      <w:r w:rsidRPr="00E62283">
        <w:rPr>
          <w:rFonts w:ascii="Arial" w:hAnsi="Arial" w:cs="Arial"/>
          <w:sz w:val="22"/>
          <w:szCs w:val="22"/>
        </w:rPr>
        <w:t>sia</w:t>
      </w:r>
      <w:r w:rsidRPr="00427FDB">
        <w:rPr>
          <w:rFonts w:ascii="Arial" w:hAnsi="Arial" w:cs="Arial"/>
          <w:sz w:val="22"/>
          <w:szCs w:val="22"/>
        </w:rPr>
        <w:t xml:space="preserve"> alla popolazione.</w:t>
      </w:r>
    </w:p>
    <w:p w14:paraId="748011D0" w14:textId="77777777" w:rsidR="00E62283" w:rsidRPr="00132A04" w:rsidRDefault="00E62283">
      <w:pPr>
        <w:spacing w:after="120"/>
        <w:jc w:val="both"/>
        <w:outlineLvl w:val="0"/>
        <w:rPr>
          <w:rFonts w:ascii="Arial" w:hAnsi="Arial" w:cs="Arial"/>
          <w:sz w:val="22"/>
          <w:szCs w:val="22"/>
        </w:rPr>
      </w:pPr>
    </w:p>
    <w:p w14:paraId="70384BA6" w14:textId="7310B731" w:rsidR="00E62283" w:rsidRPr="001029F7" w:rsidRDefault="00E62283">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Italia prima nell’Ue per prelievo di acqua per uso potabile</w:t>
      </w:r>
    </w:p>
    <w:p w14:paraId="3ABB1F82" w14:textId="7E7AB1B8" w:rsidR="002E2493" w:rsidRDefault="00E62283" w:rsidP="00427FDB">
      <w:pPr>
        <w:autoSpaceDE w:val="0"/>
        <w:autoSpaceDN w:val="0"/>
        <w:adjustRightInd w:val="0"/>
        <w:spacing w:after="120"/>
        <w:jc w:val="both"/>
        <w:rPr>
          <w:rFonts w:ascii="Arial" w:hAnsi="Arial" w:cs="Arial"/>
          <w:sz w:val="22"/>
          <w:szCs w:val="22"/>
        </w:rPr>
      </w:pPr>
      <w:r w:rsidRPr="00427FDB">
        <w:rPr>
          <w:rFonts w:ascii="Arial" w:hAnsi="Arial" w:cs="Arial"/>
          <w:sz w:val="22"/>
          <w:szCs w:val="22"/>
        </w:rPr>
        <w:t>Il volume di acqua complessivamente prelevato per uso potabile</w:t>
      </w:r>
      <w:r w:rsidR="00B829BC">
        <w:rPr>
          <w:rFonts w:ascii="Arial" w:hAnsi="Arial" w:cs="Arial"/>
          <w:sz w:val="22"/>
          <w:szCs w:val="22"/>
        </w:rPr>
        <w:t xml:space="preserve"> dalle fonti di approvvigionamento presenti in Italia</w:t>
      </w:r>
      <w:r w:rsidRPr="00427FDB">
        <w:rPr>
          <w:rFonts w:ascii="Arial" w:hAnsi="Arial" w:cs="Arial"/>
          <w:sz w:val="22"/>
          <w:szCs w:val="22"/>
        </w:rPr>
        <w:t xml:space="preserve"> è di 9,49 miliardi di m</w:t>
      </w:r>
      <w:r w:rsidR="005B3E83">
        <w:rPr>
          <w:rFonts w:ascii="Arial" w:hAnsi="Arial" w:cs="Arial"/>
          <w:sz w:val="22"/>
          <w:szCs w:val="22"/>
        </w:rPr>
        <w:t>etri cubi</w:t>
      </w:r>
      <w:r w:rsidR="00B26EE6">
        <w:rPr>
          <w:rFonts w:ascii="Arial" w:hAnsi="Arial" w:cs="Arial"/>
          <w:sz w:val="22"/>
          <w:szCs w:val="22"/>
          <w:vertAlign w:val="superscript"/>
        </w:rPr>
        <w:t xml:space="preserve"> </w:t>
      </w:r>
      <w:r w:rsidR="00B26EE6" w:rsidRPr="00427FDB">
        <w:rPr>
          <w:rFonts w:ascii="Arial" w:hAnsi="Arial" w:cs="Arial"/>
          <w:sz w:val="22"/>
          <w:szCs w:val="22"/>
        </w:rPr>
        <w:t>nel 2015</w:t>
      </w:r>
      <w:r w:rsidRPr="00427FDB">
        <w:rPr>
          <w:rFonts w:ascii="Arial" w:hAnsi="Arial" w:cs="Arial"/>
          <w:sz w:val="22"/>
          <w:szCs w:val="22"/>
        </w:rPr>
        <w:t xml:space="preserve">, </w:t>
      </w:r>
      <w:r w:rsidR="009C26D8">
        <w:rPr>
          <w:rFonts w:ascii="Arial" w:hAnsi="Arial" w:cs="Arial"/>
          <w:sz w:val="22"/>
          <w:szCs w:val="22"/>
        </w:rPr>
        <w:t xml:space="preserve">pari a un volume giornaliero pro capite di 428 litri, </w:t>
      </w:r>
      <w:r w:rsidRPr="00427FDB">
        <w:rPr>
          <w:rFonts w:ascii="Arial" w:hAnsi="Arial" w:cs="Arial"/>
          <w:sz w:val="22"/>
          <w:szCs w:val="22"/>
        </w:rPr>
        <w:t xml:space="preserve">il più alto nell’Unione europea. </w:t>
      </w:r>
      <w:r w:rsidR="002E2493">
        <w:rPr>
          <w:rFonts w:ascii="Arial" w:hAnsi="Arial" w:cs="Arial"/>
          <w:sz w:val="22"/>
          <w:szCs w:val="22"/>
        </w:rPr>
        <w:t xml:space="preserve">Tuttavia, </w:t>
      </w:r>
      <w:r w:rsidR="006F501F">
        <w:rPr>
          <w:rFonts w:ascii="Arial" w:hAnsi="Arial" w:cs="Arial"/>
          <w:sz w:val="22"/>
          <w:szCs w:val="22"/>
        </w:rPr>
        <w:t>poco meno della</w:t>
      </w:r>
      <w:r w:rsidR="002E2493">
        <w:rPr>
          <w:rFonts w:ascii="Arial" w:hAnsi="Arial" w:cs="Arial"/>
          <w:sz w:val="22"/>
          <w:szCs w:val="22"/>
        </w:rPr>
        <w:t xml:space="preserve"> metà di tale volume (</w:t>
      </w:r>
      <w:r w:rsidR="006F501F">
        <w:rPr>
          <w:rFonts w:ascii="Arial" w:hAnsi="Arial" w:cs="Arial"/>
          <w:sz w:val="22"/>
          <w:szCs w:val="22"/>
        </w:rPr>
        <w:t>47,9</w:t>
      </w:r>
      <w:r w:rsidR="002E2493">
        <w:rPr>
          <w:rFonts w:ascii="Arial" w:hAnsi="Arial" w:cs="Arial"/>
          <w:sz w:val="22"/>
          <w:szCs w:val="22"/>
        </w:rPr>
        <w:t>%) non raggiunge gli utenti finali</w:t>
      </w:r>
      <w:r w:rsidR="00B26EE6">
        <w:rPr>
          <w:rFonts w:ascii="Arial" w:hAnsi="Arial" w:cs="Arial"/>
          <w:sz w:val="22"/>
          <w:szCs w:val="22"/>
        </w:rPr>
        <w:t xml:space="preserve"> a causa delle</w:t>
      </w:r>
      <w:r w:rsidR="00B26EE6" w:rsidRPr="00427FDB">
        <w:rPr>
          <w:rFonts w:ascii="Arial" w:hAnsi="Arial" w:cs="Arial"/>
          <w:sz w:val="22"/>
          <w:szCs w:val="22"/>
        </w:rPr>
        <w:t xml:space="preserve"> </w:t>
      </w:r>
      <w:r w:rsidR="009C26D8">
        <w:rPr>
          <w:rFonts w:ascii="Arial" w:hAnsi="Arial" w:cs="Arial"/>
          <w:sz w:val="22"/>
          <w:szCs w:val="22"/>
        </w:rPr>
        <w:t>dispersioni</w:t>
      </w:r>
      <w:r w:rsidR="00B26EE6" w:rsidRPr="00427FDB">
        <w:rPr>
          <w:rFonts w:ascii="Arial" w:hAnsi="Arial" w:cs="Arial"/>
          <w:sz w:val="22"/>
          <w:szCs w:val="22"/>
        </w:rPr>
        <w:t xml:space="preserve"> </w:t>
      </w:r>
      <w:r w:rsidR="00B26EE6">
        <w:rPr>
          <w:rFonts w:ascii="Arial" w:hAnsi="Arial" w:cs="Arial"/>
          <w:sz w:val="22"/>
          <w:szCs w:val="22"/>
        </w:rPr>
        <w:t>di rete</w:t>
      </w:r>
      <w:r w:rsidR="002E2493">
        <w:rPr>
          <w:rFonts w:ascii="Arial" w:hAnsi="Arial" w:cs="Arial"/>
          <w:sz w:val="22"/>
          <w:szCs w:val="22"/>
        </w:rPr>
        <w:t>.</w:t>
      </w:r>
    </w:p>
    <w:p w14:paraId="37B48FF9" w14:textId="23412A33" w:rsidR="00062F1B" w:rsidRPr="00427FDB" w:rsidRDefault="00E62283" w:rsidP="00427FDB">
      <w:pPr>
        <w:autoSpaceDE w:val="0"/>
        <w:autoSpaceDN w:val="0"/>
        <w:adjustRightInd w:val="0"/>
        <w:spacing w:after="120"/>
        <w:jc w:val="both"/>
        <w:rPr>
          <w:rFonts w:ascii="Arial" w:hAnsi="Arial" w:cs="Arial"/>
          <w:sz w:val="22"/>
          <w:szCs w:val="22"/>
        </w:rPr>
      </w:pPr>
      <w:r w:rsidRPr="00427FDB">
        <w:rPr>
          <w:rFonts w:ascii="Arial" w:hAnsi="Arial" w:cs="Arial"/>
          <w:sz w:val="22"/>
          <w:szCs w:val="22"/>
        </w:rPr>
        <w:t>L’erogazione giornaliera per uso potabile è quantificabile in 22</w:t>
      </w:r>
      <w:r w:rsidR="002E2493">
        <w:rPr>
          <w:rFonts w:ascii="Arial" w:hAnsi="Arial" w:cs="Arial"/>
          <w:sz w:val="22"/>
          <w:szCs w:val="22"/>
        </w:rPr>
        <w:t>0</w:t>
      </w:r>
      <w:r w:rsidRPr="00427FDB">
        <w:rPr>
          <w:rFonts w:ascii="Arial" w:hAnsi="Arial" w:cs="Arial"/>
          <w:sz w:val="22"/>
          <w:szCs w:val="22"/>
        </w:rPr>
        <w:t xml:space="preserve"> litri per abitante, 21 litri in meno rispetto al 2012.</w:t>
      </w:r>
    </w:p>
    <w:p w14:paraId="250423D1" w14:textId="77777777" w:rsidR="00E62283" w:rsidRPr="00132A04" w:rsidRDefault="00E62283">
      <w:pPr>
        <w:spacing w:after="120"/>
        <w:jc w:val="both"/>
        <w:outlineLvl w:val="0"/>
        <w:rPr>
          <w:rFonts w:ascii="Arial" w:hAnsi="Arial" w:cs="Arial"/>
          <w:sz w:val="22"/>
          <w:szCs w:val="22"/>
          <w:highlight w:val="yellow"/>
        </w:rPr>
      </w:pPr>
    </w:p>
    <w:p w14:paraId="2ADED308" w14:textId="02C8EFE6" w:rsidR="00D36DFF" w:rsidRPr="00197C56" w:rsidRDefault="00FC3F41">
      <w:pPr>
        <w:spacing w:after="120"/>
        <w:jc w:val="both"/>
        <w:outlineLvl w:val="0"/>
        <w:rPr>
          <w:rFonts w:ascii="Arial" w:hAnsi="Arial" w:cs="Arial"/>
          <w:b/>
          <w:color w:val="1F497D" w:themeColor="text2"/>
          <w:sz w:val="26"/>
          <w:szCs w:val="26"/>
        </w:rPr>
      </w:pPr>
      <w:r w:rsidRPr="00197C56">
        <w:rPr>
          <w:rFonts w:ascii="Arial" w:hAnsi="Arial" w:cs="Arial"/>
          <w:b/>
          <w:color w:val="1F497D" w:themeColor="text2"/>
          <w:sz w:val="26"/>
          <w:szCs w:val="26"/>
        </w:rPr>
        <w:t>Molto o abbastanza s</w:t>
      </w:r>
      <w:r w:rsidR="00D36DFF" w:rsidRPr="00197C56">
        <w:rPr>
          <w:rFonts w:ascii="Arial" w:hAnsi="Arial" w:cs="Arial"/>
          <w:b/>
          <w:color w:val="1F497D" w:themeColor="text2"/>
          <w:sz w:val="26"/>
          <w:szCs w:val="26"/>
        </w:rPr>
        <w:t>oddisfa</w:t>
      </w:r>
      <w:r w:rsidRPr="00197C56">
        <w:rPr>
          <w:rFonts w:ascii="Arial" w:hAnsi="Arial" w:cs="Arial"/>
          <w:b/>
          <w:color w:val="1F497D" w:themeColor="text2"/>
          <w:sz w:val="26"/>
          <w:szCs w:val="26"/>
        </w:rPr>
        <w:t xml:space="preserve">tte </w:t>
      </w:r>
      <w:r w:rsidR="00546C85" w:rsidRPr="00427FDB">
        <w:rPr>
          <w:rFonts w:ascii="Arial" w:hAnsi="Arial" w:cs="Arial"/>
          <w:b/>
          <w:color w:val="1F497D" w:themeColor="text2"/>
          <w:sz w:val="26"/>
          <w:szCs w:val="26"/>
        </w:rPr>
        <w:t xml:space="preserve">del servizio idrico </w:t>
      </w:r>
      <w:r w:rsidRPr="00197C56">
        <w:rPr>
          <w:rFonts w:ascii="Arial" w:hAnsi="Arial" w:cs="Arial"/>
          <w:b/>
          <w:color w:val="1F497D" w:themeColor="text2"/>
          <w:sz w:val="26"/>
          <w:szCs w:val="26"/>
        </w:rPr>
        <w:t>più di 8 famiglie su dieci</w:t>
      </w:r>
    </w:p>
    <w:p w14:paraId="4152A609" w14:textId="103329C0" w:rsidR="009800A1" w:rsidRPr="00427FDB" w:rsidRDefault="009800A1">
      <w:pPr>
        <w:autoSpaceDE w:val="0"/>
        <w:autoSpaceDN w:val="0"/>
        <w:adjustRightInd w:val="0"/>
        <w:spacing w:after="120"/>
        <w:jc w:val="both"/>
        <w:rPr>
          <w:rFonts w:ascii="Arial" w:hAnsi="Arial" w:cs="Arial"/>
          <w:sz w:val="22"/>
          <w:szCs w:val="22"/>
        </w:rPr>
      </w:pPr>
      <w:r w:rsidRPr="00427FDB">
        <w:rPr>
          <w:rFonts w:ascii="Arial" w:hAnsi="Arial" w:cs="Arial"/>
          <w:sz w:val="22"/>
          <w:szCs w:val="22"/>
        </w:rPr>
        <w:t xml:space="preserve">Nel 2018 sono circa 24 milioni 800 mila (95,8% del totale) le famiglie che dichiarano di essere allacciate alla rete idrica comunale. A livello territoriale la </w:t>
      </w:r>
      <w:r w:rsidR="008B718B">
        <w:rPr>
          <w:rFonts w:ascii="Arial" w:hAnsi="Arial" w:cs="Arial"/>
          <w:sz w:val="22"/>
          <w:szCs w:val="22"/>
        </w:rPr>
        <w:t>quota</w:t>
      </w:r>
      <w:r w:rsidRPr="00427FDB">
        <w:rPr>
          <w:rFonts w:ascii="Arial" w:hAnsi="Arial" w:cs="Arial"/>
          <w:sz w:val="22"/>
          <w:szCs w:val="22"/>
        </w:rPr>
        <w:t xml:space="preserve"> più alta</w:t>
      </w:r>
      <w:r w:rsidR="008B718B">
        <w:rPr>
          <w:rFonts w:ascii="Arial" w:hAnsi="Arial" w:cs="Arial"/>
          <w:sz w:val="22"/>
          <w:szCs w:val="22"/>
        </w:rPr>
        <w:t>,</w:t>
      </w:r>
      <w:r w:rsidRPr="00427FDB">
        <w:rPr>
          <w:rFonts w:ascii="Arial" w:hAnsi="Arial" w:cs="Arial"/>
          <w:sz w:val="22"/>
          <w:szCs w:val="22"/>
        </w:rPr>
        <w:t xml:space="preserve"> </w:t>
      </w:r>
      <w:r w:rsidR="008B718B" w:rsidRPr="00D21483">
        <w:rPr>
          <w:rFonts w:ascii="Arial" w:hAnsi="Arial" w:cs="Arial"/>
          <w:sz w:val="22"/>
          <w:szCs w:val="22"/>
        </w:rPr>
        <w:t>98,5%</w:t>
      </w:r>
      <w:r w:rsidR="008B718B">
        <w:rPr>
          <w:rFonts w:ascii="Arial" w:hAnsi="Arial" w:cs="Arial"/>
          <w:sz w:val="22"/>
          <w:szCs w:val="22"/>
        </w:rPr>
        <w:t>,</w:t>
      </w:r>
      <w:r w:rsidR="008B718B" w:rsidRPr="00D21483">
        <w:rPr>
          <w:rFonts w:ascii="Arial" w:hAnsi="Arial" w:cs="Arial"/>
          <w:sz w:val="22"/>
          <w:szCs w:val="22"/>
        </w:rPr>
        <w:t xml:space="preserve"> </w:t>
      </w:r>
      <w:r w:rsidRPr="00427FDB">
        <w:rPr>
          <w:rFonts w:ascii="Arial" w:hAnsi="Arial" w:cs="Arial"/>
          <w:sz w:val="22"/>
          <w:szCs w:val="22"/>
        </w:rPr>
        <w:t xml:space="preserve">è </w:t>
      </w:r>
      <w:r w:rsidR="00A27025">
        <w:rPr>
          <w:rFonts w:ascii="Arial" w:hAnsi="Arial" w:cs="Arial"/>
          <w:sz w:val="22"/>
          <w:szCs w:val="22"/>
        </w:rPr>
        <w:t>n</w:t>
      </w:r>
      <w:r w:rsidRPr="00427FDB">
        <w:rPr>
          <w:rFonts w:ascii="Arial" w:hAnsi="Arial" w:cs="Arial"/>
          <w:sz w:val="22"/>
          <w:szCs w:val="22"/>
        </w:rPr>
        <w:t>el Nord-ovest mentre la più bassa si registra nelle Isole (93,1%). Il 4,2% delle famiglie dichiara invece una fonte di approvvigionamento diversa dalla rete comunale attraverso pozzi, sorgenti o altre fonti private.</w:t>
      </w:r>
    </w:p>
    <w:p w14:paraId="1AB86FBA" w14:textId="7BF1919B" w:rsidR="00033419" w:rsidRPr="00197C56" w:rsidRDefault="00261723" w:rsidP="00427FDB">
      <w:pPr>
        <w:autoSpaceDE w:val="0"/>
        <w:autoSpaceDN w:val="0"/>
        <w:adjustRightInd w:val="0"/>
        <w:spacing w:after="120"/>
        <w:jc w:val="both"/>
        <w:rPr>
          <w:rFonts w:ascii="Arial" w:hAnsi="Arial" w:cs="Arial"/>
          <w:sz w:val="22"/>
          <w:szCs w:val="22"/>
        </w:rPr>
      </w:pPr>
      <w:r w:rsidRPr="00197C56">
        <w:rPr>
          <w:rFonts w:ascii="Arial" w:hAnsi="Arial" w:cs="Arial"/>
          <w:sz w:val="22"/>
          <w:szCs w:val="22"/>
        </w:rPr>
        <w:t xml:space="preserve">Le famiglie allacciate alla rete idrica comunale che si ritengono molto soddisfatte del servizio offerto sono il 21,3%, quelle abbastanza soddisfatte il 63,3%. </w:t>
      </w:r>
      <w:r w:rsidR="00033419" w:rsidRPr="00197C56">
        <w:rPr>
          <w:rFonts w:ascii="Arial" w:hAnsi="Arial" w:cs="Arial"/>
          <w:sz w:val="22"/>
          <w:szCs w:val="22"/>
        </w:rPr>
        <w:t>Il livello di soddisfazione complessivo varia sensibilmente sul territorio</w:t>
      </w:r>
      <w:r w:rsidR="00B37305">
        <w:rPr>
          <w:rFonts w:ascii="Arial" w:hAnsi="Arial" w:cs="Arial"/>
          <w:sz w:val="22"/>
          <w:szCs w:val="22"/>
        </w:rPr>
        <w:t xml:space="preserve"> (Figura 1)</w:t>
      </w:r>
      <w:r w:rsidR="0004216B" w:rsidRPr="00197C56">
        <w:rPr>
          <w:rFonts w:ascii="Arial" w:hAnsi="Arial" w:cs="Arial"/>
          <w:sz w:val="22"/>
          <w:szCs w:val="22"/>
        </w:rPr>
        <w:t xml:space="preserve">. </w:t>
      </w:r>
      <w:r w:rsidRPr="00197C56">
        <w:rPr>
          <w:rFonts w:ascii="Arial" w:hAnsi="Arial" w:cs="Arial"/>
          <w:sz w:val="22"/>
          <w:szCs w:val="22"/>
        </w:rPr>
        <w:t xml:space="preserve">Le </w:t>
      </w:r>
      <w:r w:rsidR="00033419" w:rsidRPr="00197C56">
        <w:rPr>
          <w:rFonts w:ascii="Arial" w:hAnsi="Arial" w:cs="Arial"/>
          <w:sz w:val="22"/>
          <w:szCs w:val="22"/>
        </w:rPr>
        <w:t>famiglie molto o abbastanza soddisfatte</w:t>
      </w:r>
      <w:r w:rsidRPr="00197C56">
        <w:rPr>
          <w:rFonts w:ascii="Arial" w:hAnsi="Arial" w:cs="Arial"/>
          <w:sz w:val="22"/>
          <w:szCs w:val="22"/>
        </w:rPr>
        <w:t xml:space="preserve"> sono nove su dieci al Nord</w:t>
      </w:r>
      <w:r w:rsidR="00033419" w:rsidRPr="00197C56">
        <w:rPr>
          <w:rFonts w:ascii="Arial" w:hAnsi="Arial" w:cs="Arial"/>
          <w:sz w:val="22"/>
          <w:szCs w:val="22"/>
        </w:rPr>
        <w:t xml:space="preserve">, </w:t>
      </w:r>
      <w:r w:rsidRPr="00197C56">
        <w:rPr>
          <w:rFonts w:ascii="Arial" w:hAnsi="Arial" w:cs="Arial"/>
          <w:sz w:val="22"/>
          <w:szCs w:val="22"/>
        </w:rPr>
        <w:t xml:space="preserve">otto </w:t>
      </w:r>
      <w:r w:rsidR="00033419" w:rsidRPr="00197C56">
        <w:rPr>
          <w:rFonts w:ascii="Arial" w:hAnsi="Arial" w:cs="Arial"/>
          <w:sz w:val="22"/>
          <w:szCs w:val="22"/>
        </w:rPr>
        <w:t xml:space="preserve">nel Centro e </w:t>
      </w:r>
      <w:r w:rsidR="007B2CFE">
        <w:rPr>
          <w:rFonts w:ascii="Arial" w:hAnsi="Arial" w:cs="Arial"/>
          <w:sz w:val="22"/>
          <w:szCs w:val="22"/>
        </w:rPr>
        <w:t>nel</w:t>
      </w:r>
      <w:r w:rsidRPr="00197C56">
        <w:rPr>
          <w:rFonts w:ascii="Arial" w:hAnsi="Arial" w:cs="Arial"/>
          <w:sz w:val="22"/>
          <w:szCs w:val="22"/>
        </w:rPr>
        <w:t xml:space="preserve"> </w:t>
      </w:r>
      <w:r w:rsidR="00033419" w:rsidRPr="00197C56">
        <w:rPr>
          <w:rFonts w:ascii="Arial" w:hAnsi="Arial" w:cs="Arial"/>
          <w:sz w:val="22"/>
          <w:szCs w:val="22"/>
        </w:rPr>
        <w:t>Sud</w:t>
      </w:r>
      <w:r w:rsidR="007B2CFE">
        <w:rPr>
          <w:rFonts w:ascii="Arial" w:hAnsi="Arial" w:cs="Arial"/>
          <w:sz w:val="22"/>
          <w:szCs w:val="22"/>
        </w:rPr>
        <w:t xml:space="preserve"> e</w:t>
      </w:r>
      <w:r w:rsidR="00033419" w:rsidRPr="00197C56">
        <w:rPr>
          <w:rFonts w:ascii="Arial" w:hAnsi="Arial" w:cs="Arial"/>
          <w:sz w:val="22"/>
          <w:szCs w:val="22"/>
        </w:rPr>
        <w:t xml:space="preserve"> </w:t>
      </w:r>
      <w:r w:rsidR="007B2CFE" w:rsidRPr="00197C56">
        <w:rPr>
          <w:rFonts w:ascii="Arial" w:hAnsi="Arial" w:cs="Arial"/>
          <w:sz w:val="22"/>
          <w:szCs w:val="22"/>
        </w:rPr>
        <w:t xml:space="preserve">scendono a </w:t>
      </w:r>
      <w:r w:rsidRPr="00197C56">
        <w:rPr>
          <w:rFonts w:ascii="Arial" w:hAnsi="Arial" w:cs="Arial"/>
          <w:sz w:val="22"/>
          <w:szCs w:val="22"/>
        </w:rPr>
        <w:t xml:space="preserve">sette </w:t>
      </w:r>
      <w:r w:rsidR="00033419" w:rsidRPr="00197C56">
        <w:rPr>
          <w:rFonts w:ascii="Arial" w:hAnsi="Arial" w:cs="Arial"/>
          <w:sz w:val="22"/>
          <w:szCs w:val="22"/>
        </w:rPr>
        <w:t xml:space="preserve">nelle Isole. </w:t>
      </w:r>
      <w:r w:rsidRPr="00197C56">
        <w:rPr>
          <w:rFonts w:ascii="Arial" w:hAnsi="Arial" w:cs="Arial"/>
          <w:sz w:val="22"/>
          <w:szCs w:val="22"/>
        </w:rPr>
        <w:t>Tuttavia v</w:t>
      </w:r>
      <w:r w:rsidR="00033419" w:rsidRPr="00197C56">
        <w:rPr>
          <w:rFonts w:ascii="Arial" w:hAnsi="Arial" w:cs="Arial"/>
          <w:sz w:val="22"/>
          <w:szCs w:val="22"/>
        </w:rPr>
        <w:t xml:space="preserve">i sono aree geografiche del Paese </w:t>
      </w:r>
      <w:r w:rsidRPr="00197C56">
        <w:rPr>
          <w:rFonts w:ascii="Arial" w:hAnsi="Arial" w:cs="Arial"/>
          <w:sz w:val="22"/>
          <w:szCs w:val="22"/>
        </w:rPr>
        <w:t xml:space="preserve">in cui </w:t>
      </w:r>
      <w:r w:rsidR="00033419" w:rsidRPr="00197C56">
        <w:rPr>
          <w:rFonts w:ascii="Arial" w:hAnsi="Arial" w:cs="Arial"/>
          <w:sz w:val="22"/>
          <w:szCs w:val="22"/>
        </w:rPr>
        <w:t>la quota di famiglie poco soddisfatte supera di gran lunga la percentuale di quelle molto soddisfatte</w:t>
      </w:r>
      <w:r w:rsidR="0004216B" w:rsidRPr="00197C56">
        <w:rPr>
          <w:rFonts w:ascii="Arial" w:hAnsi="Arial" w:cs="Arial"/>
          <w:sz w:val="22"/>
          <w:szCs w:val="22"/>
        </w:rPr>
        <w:t>. G</w:t>
      </w:r>
      <w:r w:rsidR="00033419" w:rsidRPr="00197C56">
        <w:rPr>
          <w:rFonts w:ascii="Arial" w:hAnsi="Arial" w:cs="Arial"/>
          <w:sz w:val="22"/>
          <w:szCs w:val="22"/>
        </w:rPr>
        <w:t>li scostamenti maggiori si registrano in Calabria (26,6%</w:t>
      </w:r>
      <w:r w:rsidR="007B2CFE">
        <w:rPr>
          <w:rFonts w:ascii="Arial" w:hAnsi="Arial" w:cs="Arial"/>
          <w:sz w:val="22"/>
          <w:szCs w:val="22"/>
        </w:rPr>
        <w:t xml:space="preserve"> poco soddisfatte</w:t>
      </w:r>
      <w:r w:rsidR="00033419" w:rsidRPr="00197C56">
        <w:rPr>
          <w:rFonts w:ascii="Arial" w:hAnsi="Arial" w:cs="Arial"/>
          <w:sz w:val="22"/>
          <w:szCs w:val="22"/>
        </w:rPr>
        <w:t xml:space="preserve"> contro 9,6%</w:t>
      </w:r>
      <w:r w:rsidR="007B2CFE">
        <w:rPr>
          <w:rFonts w:ascii="Arial" w:hAnsi="Arial" w:cs="Arial"/>
          <w:sz w:val="22"/>
          <w:szCs w:val="22"/>
        </w:rPr>
        <w:t xml:space="preserve"> molto soddisfatte</w:t>
      </w:r>
      <w:r w:rsidR="00033419" w:rsidRPr="00197C56">
        <w:rPr>
          <w:rFonts w:ascii="Arial" w:hAnsi="Arial" w:cs="Arial"/>
          <w:sz w:val="22"/>
          <w:szCs w:val="22"/>
        </w:rPr>
        <w:t>), Sardegna (24,3% contro 8,8%) e Sicilia (22,7% contro 11,1%).</w:t>
      </w:r>
    </w:p>
    <w:p w14:paraId="733ADB71" w14:textId="77777777" w:rsidR="003A7432" w:rsidRPr="00F74B46" w:rsidRDefault="003A7432" w:rsidP="00427FDB">
      <w:pPr>
        <w:spacing w:before="240" w:after="120"/>
        <w:rPr>
          <w:rFonts w:ascii="Arial Black" w:hAnsi="Arial Black" w:cs="Arial"/>
          <w:b/>
          <w:bCs/>
          <w:color w:val="1F497D" w:themeColor="text2"/>
          <w:sz w:val="22"/>
          <w:szCs w:val="22"/>
        </w:rPr>
      </w:pPr>
    </w:p>
    <w:p w14:paraId="1B08D026" w14:textId="77777777" w:rsidR="00F74B46" w:rsidRDefault="00F74B46" w:rsidP="00132A04">
      <w:pPr>
        <w:spacing w:before="40"/>
        <w:rPr>
          <w:rFonts w:ascii="Arial Black" w:hAnsi="Arial Black" w:cs="Arial"/>
          <w:iCs/>
          <w:noProof/>
          <w:color w:val="1F497D" w:themeColor="text2"/>
          <w:sz w:val="18"/>
          <w:szCs w:val="22"/>
        </w:rPr>
      </w:pPr>
    </w:p>
    <w:p w14:paraId="2CB67565" w14:textId="77777777" w:rsidR="00954E5B" w:rsidRPr="00132A04" w:rsidRDefault="00954E5B" w:rsidP="00132A04">
      <w:pPr>
        <w:spacing w:before="40"/>
        <w:rPr>
          <w:rFonts w:ascii="Arial Black" w:hAnsi="Arial Black" w:cs="Arial"/>
          <w:iCs/>
          <w:noProof/>
          <w:color w:val="1F497D" w:themeColor="text2"/>
          <w:sz w:val="18"/>
          <w:szCs w:val="22"/>
        </w:rPr>
      </w:pPr>
    </w:p>
    <w:p w14:paraId="097C404D" w14:textId="77777777" w:rsidR="003F0FC3" w:rsidRPr="00132A04" w:rsidRDefault="003F0FC3" w:rsidP="00132A04">
      <w:pPr>
        <w:spacing w:before="40"/>
        <w:rPr>
          <w:rFonts w:ascii="Arial Black" w:hAnsi="Arial Black" w:cs="Arial"/>
          <w:iCs/>
          <w:noProof/>
          <w:color w:val="1F497D" w:themeColor="text2"/>
          <w:sz w:val="22"/>
          <w:szCs w:val="22"/>
        </w:rPr>
      </w:pPr>
      <w:r w:rsidRPr="00132A04">
        <w:rPr>
          <w:rFonts w:ascii="Arial Black" w:hAnsi="Arial Black" w:cs="Arial"/>
          <w:iCs/>
          <w:noProof/>
          <w:color w:val="1F497D" w:themeColor="text2"/>
          <w:sz w:val="22"/>
          <w:szCs w:val="22"/>
        </w:rPr>
        <w:t>ACQUA: I NUMERI CHIAVE</w:t>
      </w:r>
    </w:p>
    <w:p w14:paraId="7EBB7248" w14:textId="1B87F13A" w:rsidR="00F64A26" w:rsidRPr="00F55C02" w:rsidRDefault="00954E62" w:rsidP="003F0FC3">
      <w:pPr>
        <w:spacing w:before="40" w:after="20"/>
        <w:rPr>
          <w:rFonts w:ascii="Arial Narrow" w:hAnsi="Arial Narrow" w:cs="Arial"/>
          <w:color w:val="1F497D" w:themeColor="text2"/>
          <w:sz w:val="22"/>
          <w:szCs w:val="22"/>
        </w:rPr>
      </w:pPr>
      <w:r>
        <w:rPr>
          <w:rFonts w:ascii="Arial Narrow" w:hAnsi="Arial Narrow" w:cs="Arial"/>
          <w:color w:val="1F497D" w:themeColor="text2"/>
          <w:sz w:val="22"/>
          <w:szCs w:val="22"/>
        </w:rPr>
        <w:t>Anni 2016</w:t>
      </w:r>
      <w:r w:rsidR="00CA1C9C">
        <w:rPr>
          <w:rFonts w:ascii="Arial Narrow" w:hAnsi="Arial Narrow" w:cs="Arial"/>
          <w:color w:val="1F497D" w:themeColor="text2"/>
          <w:sz w:val="22"/>
          <w:szCs w:val="22"/>
        </w:rPr>
        <w:t>-2018</w:t>
      </w:r>
    </w:p>
    <w:p w14:paraId="395636EC" w14:textId="77777777" w:rsidR="00F55C02" w:rsidRPr="00132A04" w:rsidRDefault="00F55C02" w:rsidP="003F0FC3">
      <w:pPr>
        <w:spacing w:before="40" w:after="20"/>
        <w:rPr>
          <w:rFonts w:ascii="Arial Narrow" w:hAnsi="Arial Narrow" w:cs="Arial"/>
          <w:color w:val="1F497D" w:themeColor="text2"/>
          <w:sz w:val="12"/>
          <w:szCs w:val="22"/>
        </w:rPr>
      </w:pPr>
    </w:p>
    <w:p w14:paraId="655F5DD8" w14:textId="77777777" w:rsidR="00007402" w:rsidRPr="00132A04" w:rsidRDefault="00007402" w:rsidP="003F0FC3">
      <w:pPr>
        <w:spacing w:before="40" w:after="20"/>
        <w:rPr>
          <w:rFonts w:ascii="Arial Narrow" w:hAnsi="Arial Narrow" w:cs="Arial"/>
          <w:color w:val="1F497D" w:themeColor="text2"/>
          <w:sz w:val="16"/>
          <w:szCs w:val="22"/>
        </w:rPr>
      </w:pPr>
    </w:p>
    <w:p w14:paraId="38DC2282" w14:textId="77777777" w:rsidR="00F74B46" w:rsidRDefault="00F74B46" w:rsidP="003F0FC3">
      <w:pPr>
        <w:spacing w:before="40" w:after="20"/>
        <w:rPr>
          <w:rFonts w:ascii="Arial Narrow" w:hAnsi="Arial Narrow" w:cs="Arial"/>
          <w:color w:val="1F497D" w:themeColor="text2"/>
          <w:sz w:val="22"/>
          <w:szCs w:val="22"/>
        </w:rPr>
      </w:pPr>
    </w:p>
    <w:tbl>
      <w:tblPr>
        <w:tblW w:w="9923" w:type="dxa"/>
        <w:tblInd w:w="15" w:type="dxa"/>
        <w:tblBorders>
          <w:top w:val="single" w:sz="4" w:space="0" w:color="FFFFFF" w:themeColor="background1"/>
          <w:bottom w:val="single" w:sz="4" w:space="0" w:color="FFFFFF" w:themeColor="background1"/>
          <w:insideH w:val="single" w:sz="4" w:space="0" w:color="FFFFFF" w:themeColor="background1"/>
        </w:tblBorders>
        <w:shd w:val="clear" w:color="auto" w:fill="D9D9D9" w:themeFill="background1" w:themeFillShade="D9"/>
        <w:tblLayout w:type="fixed"/>
        <w:tblCellMar>
          <w:left w:w="170" w:type="dxa"/>
          <w:right w:w="170" w:type="dxa"/>
        </w:tblCellMar>
        <w:tblLook w:val="04A0" w:firstRow="1" w:lastRow="0" w:firstColumn="1" w:lastColumn="0" w:noHBand="0" w:noVBand="1"/>
      </w:tblPr>
      <w:tblGrid>
        <w:gridCol w:w="622"/>
        <w:gridCol w:w="1419"/>
        <w:gridCol w:w="1419"/>
        <w:gridCol w:w="1419"/>
        <w:gridCol w:w="1419"/>
        <w:gridCol w:w="1419"/>
        <w:gridCol w:w="1103"/>
        <w:gridCol w:w="1103"/>
      </w:tblGrid>
      <w:tr w:rsidR="00646E34" w:rsidRPr="00E5573E" w14:paraId="20A8E8E1" w14:textId="77777777" w:rsidTr="00132A04">
        <w:trPr>
          <w:trHeight w:val="284"/>
        </w:trPr>
        <w:tc>
          <w:tcPr>
            <w:tcW w:w="300" w:type="pct"/>
            <w:shd w:val="clear" w:color="auto" w:fill="D9D9D9" w:themeFill="background1" w:themeFillShade="D9"/>
            <w:tcMar>
              <w:top w:w="15" w:type="dxa"/>
              <w:left w:w="15" w:type="dxa"/>
              <w:bottom w:w="0" w:type="dxa"/>
              <w:right w:w="15" w:type="dxa"/>
            </w:tcMar>
            <w:vAlign w:val="center"/>
          </w:tcPr>
          <w:p w14:paraId="6B795188" w14:textId="43DF4C26" w:rsidR="00646E34" w:rsidRPr="00427FDB" w:rsidRDefault="00F74B46" w:rsidP="00132A04">
            <w:pPr>
              <w:spacing w:before="40" w:after="20"/>
              <w:ind w:right="31"/>
              <w:rPr>
                <w:rFonts w:ascii="Arial Narrow" w:hAnsi="Arial Narrow" w:cs="Arial"/>
                <w:b/>
                <w:color w:val="1F497D"/>
                <w:sz w:val="18"/>
                <w:szCs w:val="18"/>
              </w:rPr>
            </w:pPr>
            <w:r>
              <w:rPr>
                <w:rFonts w:ascii="Arial Narrow" w:hAnsi="Arial Narrow" w:cs="Arial"/>
                <w:b/>
                <w:color w:val="1F497D"/>
                <w:sz w:val="18"/>
                <w:szCs w:val="18"/>
              </w:rPr>
              <w:t xml:space="preserve">  </w:t>
            </w:r>
            <w:r w:rsidR="00646E34" w:rsidRPr="00344406">
              <w:rPr>
                <w:rFonts w:ascii="Arial Narrow" w:hAnsi="Arial Narrow" w:cs="Arial"/>
                <w:b/>
                <w:color w:val="1F497D"/>
                <w:sz w:val="18"/>
                <w:szCs w:val="18"/>
              </w:rPr>
              <w:t>ANNI</w:t>
            </w:r>
          </w:p>
        </w:tc>
        <w:tc>
          <w:tcPr>
            <w:tcW w:w="683" w:type="pct"/>
            <w:shd w:val="clear" w:color="auto" w:fill="1F497D"/>
            <w:vAlign w:val="center"/>
          </w:tcPr>
          <w:p w14:paraId="2839B895" w14:textId="77777777" w:rsidR="00646E34" w:rsidRPr="00427FDB" w:rsidDel="00E61DE7" w:rsidRDefault="00117FB6" w:rsidP="00427FDB">
            <w:pPr>
              <w:spacing w:before="40" w:after="20"/>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Famiglie che lamentano irregolarità nel servizio idrico</w:t>
            </w:r>
          </w:p>
        </w:tc>
        <w:tc>
          <w:tcPr>
            <w:tcW w:w="683" w:type="pct"/>
            <w:shd w:val="clear" w:color="auto" w:fill="1F497D"/>
            <w:vAlign w:val="center"/>
          </w:tcPr>
          <w:p w14:paraId="496AEE71" w14:textId="77777777" w:rsidR="00646E34" w:rsidRPr="00427FDB" w:rsidDel="00E61DE7"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Spesa media mensile per la fornitura di acqua</w:t>
            </w:r>
          </w:p>
        </w:tc>
        <w:tc>
          <w:tcPr>
            <w:tcW w:w="683" w:type="pct"/>
            <w:shd w:val="clear" w:color="auto" w:fill="1F497D"/>
            <w:vAlign w:val="center"/>
          </w:tcPr>
          <w:p w14:paraId="07EE72EE" w14:textId="0159DBA1" w:rsidR="00646E34" w:rsidRPr="00427FDB" w:rsidDel="00E61DE7"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Spesa media mensile per acqua minerale</w:t>
            </w:r>
          </w:p>
        </w:tc>
        <w:tc>
          <w:tcPr>
            <w:tcW w:w="683" w:type="pct"/>
            <w:shd w:val="clear" w:color="auto" w:fill="1F497D"/>
            <w:vAlign w:val="center"/>
          </w:tcPr>
          <w:p w14:paraId="79D2CC4C" w14:textId="6F4B6C1A" w:rsidR="00646E34" w:rsidRPr="00427FDB" w:rsidDel="00E61DE7"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Famiglie che non si fidano a bere acqua del rubinetto</w:t>
            </w:r>
          </w:p>
        </w:tc>
        <w:tc>
          <w:tcPr>
            <w:tcW w:w="683" w:type="pct"/>
            <w:shd w:val="clear" w:color="auto" w:fill="1F497D"/>
            <w:vAlign w:val="center"/>
          </w:tcPr>
          <w:p w14:paraId="26F48AFA" w14:textId="35848FCD" w:rsidR="00646E34" w:rsidRPr="00427FDB"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Superficie irrigata su superficie agricola utilizzata (</w:t>
            </w:r>
            <w:r w:rsidR="00655E94" w:rsidRPr="00427FDB">
              <w:rPr>
                <w:rFonts w:ascii="Arial Narrow" w:hAnsi="Arial Narrow" w:cs="Arial"/>
                <w:b/>
                <w:color w:val="FFFFFF" w:themeColor="background1"/>
                <w:sz w:val="18"/>
                <w:szCs w:val="18"/>
              </w:rPr>
              <w:t>Sau</w:t>
            </w:r>
            <w:r w:rsidRPr="00427FDB">
              <w:rPr>
                <w:rFonts w:ascii="Arial Narrow" w:hAnsi="Arial Narrow" w:cs="Arial"/>
                <w:b/>
                <w:color w:val="FFFFFF" w:themeColor="background1"/>
                <w:sz w:val="18"/>
                <w:szCs w:val="18"/>
              </w:rPr>
              <w:t xml:space="preserve">) </w:t>
            </w:r>
          </w:p>
        </w:tc>
        <w:tc>
          <w:tcPr>
            <w:tcW w:w="531" w:type="pct"/>
            <w:shd w:val="clear" w:color="auto" w:fill="1F497D"/>
            <w:tcMar>
              <w:top w:w="15" w:type="dxa"/>
              <w:left w:w="15" w:type="dxa"/>
              <w:bottom w:w="0" w:type="dxa"/>
              <w:right w:w="15" w:type="dxa"/>
            </w:tcMar>
            <w:vAlign w:val="center"/>
          </w:tcPr>
          <w:p w14:paraId="39A2AC9B" w14:textId="77777777" w:rsidR="00007402"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 xml:space="preserve">Estrazione </w:t>
            </w:r>
          </w:p>
          <w:p w14:paraId="0E846CF8" w14:textId="3AAC1A3B" w:rsidR="00646E34" w:rsidRPr="00427FDB" w:rsidRDefault="00117FB6" w:rsidP="00132A04">
            <w:pPr>
              <w:spacing w:before="40" w:after="20"/>
              <w:ind w:right="31"/>
              <w:jc w:val="center"/>
              <w:rPr>
                <w:rFonts w:ascii="Arial Narrow" w:hAnsi="Arial Narrow" w:cs="Arial"/>
                <w:b/>
                <w:color w:val="FFFFFF" w:themeColor="background1"/>
                <w:sz w:val="18"/>
                <w:szCs w:val="18"/>
              </w:rPr>
            </w:pPr>
            <w:r w:rsidRPr="00427FDB">
              <w:rPr>
                <w:rFonts w:ascii="Arial Narrow" w:hAnsi="Arial Narrow" w:cs="Arial"/>
                <w:b/>
                <w:color w:val="FFFFFF" w:themeColor="background1"/>
                <w:sz w:val="18"/>
                <w:szCs w:val="18"/>
              </w:rPr>
              <w:t xml:space="preserve">di acque minerali </w:t>
            </w:r>
          </w:p>
        </w:tc>
        <w:tc>
          <w:tcPr>
            <w:tcW w:w="531" w:type="pct"/>
            <w:shd w:val="clear" w:color="auto" w:fill="1F497D"/>
            <w:vAlign w:val="center"/>
          </w:tcPr>
          <w:p w14:paraId="095518E6" w14:textId="391F6DCF" w:rsidR="00646E34" w:rsidRPr="00427FDB" w:rsidRDefault="00B64244" w:rsidP="00132A04">
            <w:pPr>
              <w:spacing w:before="40" w:after="20"/>
              <w:ind w:right="31"/>
              <w:jc w:val="center"/>
              <w:rPr>
                <w:rFonts w:ascii="Arial Narrow" w:hAnsi="Arial Narrow" w:cs="Arial"/>
                <w:b/>
                <w:color w:val="FFFFFF" w:themeColor="background1"/>
                <w:sz w:val="18"/>
                <w:szCs w:val="18"/>
              </w:rPr>
            </w:pPr>
            <w:r w:rsidRPr="00D359BD">
              <w:rPr>
                <w:rFonts w:ascii="Arial Narrow" w:hAnsi="Arial Narrow" w:cs="Arial"/>
                <w:b/>
                <w:color w:val="FFFFFF" w:themeColor="background1"/>
                <w:sz w:val="18"/>
                <w:szCs w:val="18"/>
              </w:rPr>
              <w:t>Coste marine con</w:t>
            </w:r>
            <w:r w:rsidR="00117FB6" w:rsidRPr="00D359BD">
              <w:rPr>
                <w:rFonts w:ascii="Arial Narrow" w:hAnsi="Arial Narrow" w:cs="Arial"/>
                <w:b/>
                <w:color w:val="FFFFFF" w:themeColor="background1"/>
                <w:sz w:val="18"/>
                <w:szCs w:val="18"/>
              </w:rPr>
              <w:t xml:space="preserve"> qualità eccellente</w:t>
            </w:r>
          </w:p>
        </w:tc>
      </w:tr>
      <w:tr w:rsidR="00646E34" w:rsidRPr="00E5573E" w14:paraId="2A531409" w14:textId="77777777" w:rsidTr="00132A04">
        <w:trPr>
          <w:trHeight w:hRule="exact" w:val="567"/>
        </w:trPr>
        <w:tc>
          <w:tcPr>
            <w:tcW w:w="300" w:type="pct"/>
            <w:shd w:val="clear" w:color="auto" w:fill="D9D9D9" w:themeFill="background1" w:themeFillShade="D9"/>
            <w:tcMar>
              <w:top w:w="15" w:type="dxa"/>
              <w:left w:w="15" w:type="dxa"/>
              <w:bottom w:w="0" w:type="dxa"/>
              <w:right w:w="15" w:type="dxa"/>
            </w:tcMar>
            <w:vAlign w:val="center"/>
          </w:tcPr>
          <w:p w14:paraId="0AFAB17F" w14:textId="68792911" w:rsidR="00646E34" w:rsidRPr="00427FDB" w:rsidRDefault="00F74B46" w:rsidP="00132A04">
            <w:pPr>
              <w:spacing w:before="80" w:after="20" w:line="360" w:lineRule="auto"/>
              <w:ind w:right="28"/>
              <w:rPr>
                <w:rFonts w:ascii="Arial Narrow" w:hAnsi="Arial Narrow" w:cs="Arial"/>
                <w:b/>
                <w:color w:val="1F497D"/>
                <w:sz w:val="18"/>
                <w:szCs w:val="18"/>
              </w:rPr>
            </w:pPr>
            <w:r>
              <w:rPr>
                <w:rFonts w:ascii="Arial Narrow" w:hAnsi="Arial Narrow" w:cs="Arial"/>
                <w:b/>
                <w:color w:val="1F497D"/>
                <w:sz w:val="18"/>
                <w:szCs w:val="18"/>
              </w:rPr>
              <w:t xml:space="preserve">  </w:t>
            </w:r>
            <w:r w:rsidR="00646E34" w:rsidRPr="00427FDB">
              <w:rPr>
                <w:rFonts w:ascii="Arial Narrow" w:hAnsi="Arial Narrow" w:cs="Arial"/>
                <w:b/>
                <w:color w:val="1F497D"/>
                <w:sz w:val="18"/>
                <w:szCs w:val="18"/>
              </w:rPr>
              <w:t>2016</w:t>
            </w:r>
          </w:p>
        </w:tc>
        <w:tc>
          <w:tcPr>
            <w:tcW w:w="683" w:type="pct"/>
            <w:shd w:val="clear" w:color="auto" w:fill="auto"/>
            <w:vAlign w:val="center"/>
          </w:tcPr>
          <w:p w14:paraId="4E77F9A0"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9,4%</w:t>
            </w:r>
          </w:p>
        </w:tc>
        <w:tc>
          <w:tcPr>
            <w:tcW w:w="683" w:type="pct"/>
            <w:shd w:val="clear" w:color="auto" w:fill="D9D9D9" w:themeFill="background1" w:themeFillShade="D9"/>
            <w:vAlign w:val="center"/>
          </w:tcPr>
          <w:p w14:paraId="6BB05A92" w14:textId="77777777" w:rsidR="00646E34" w:rsidRPr="00427FDB"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13,59 euro</w:t>
            </w:r>
          </w:p>
        </w:tc>
        <w:tc>
          <w:tcPr>
            <w:tcW w:w="683" w:type="pct"/>
            <w:shd w:val="clear" w:color="auto" w:fill="auto"/>
            <w:vAlign w:val="center"/>
          </w:tcPr>
          <w:p w14:paraId="678F7F02" w14:textId="77777777" w:rsidR="00646E34" w:rsidRPr="00427FDB" w:rsidDel="004D073D"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10,75 euro</w:t>
            </w:r>
          </w:p>
        </w:tc>
        <w:tc>
          <w:tcPr>
            <w:tcW w:w="683" w:type="pct"/>
            <w:shd w:val="clear" w:color="auto" w:fill="D9D9D9" w:themeFill="background1" w:themeFillShade="D9"/>
            <w:vAlign w:val="center"/>
          </w:tcPr>
          <w:p w14:paraId="07086631" w14:textId="77777777" w:rsidR="00646E34" w:rsidRPr="00427FDB"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29,9%</w:t>
            </w:r>
          </w:p>
        </w:tc>
        <w:tc>
          <w:tcPr>
            <w:tcW w:w="683" w:type="pct"/>
            <w:shd w:val="clear" w:color="auto" w:fill="auto"/>
            <w:vAlign w:val="center"/>
          </w:tcPr>
          <w:p w14:paraId="68451FF1"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20,3%</w:t>
            </w:r>
          </w:p>
        </w:tc>
        <w:tc>
          <w:tcPr>
            <w:tcW w:w="531" w:type="pct"/>
            <w:shd w:val="clear" w:color="auto" w:fill="D9D9D9" w:themeFill="background1" w:themeFillShade="D9"/>
            <w:tcMar>
              <w:top w:w="15" w:type="dxa"/>
              <w:left w:w="15" w:type="dxa"/>
              <w:bottom w:w="0" w:type="dxa"/>
              <w:right w:w="15" w:type="dxa"/>
            </w:tcMar>
            <w:vAlign w:val="center"/>
          </w:tcPr>
          <w:p w14:paraId="3EE75EF5"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 xml:space="preserve">16,2 </w:t>
            </w:r>
            <w:r w:rsidR="00AB252C" w:rsidRPr="00427FDB">
              <w:rPr>
                <w:rFonts w:ascii="Arial Narrow" w:hAnsi="Arial Narrow" w:cs="Arial"/>
                <w:sz w:val="18"/>
                <w:szCs w:val="18"/>
              </w:rPr>
              <w:t>m</w:t>
            </w:r>
            <w:r w:rsidR="00117FB6" w:rsidRPr="00427FDB">
              <w:rPr>
                <w:rFonts w:ascii="Arial Narrow" w:hAnsi="Arial Narrow" w:cs="Arial"/>
                <w:sz w:val="18"/>
                <w:szCs w:val="18"/>
              </w:rPr>
              <w:t>ln</w:t>
            </w:r>
            <w:r w:rsidR="00AB252C" w:rsidRPr="00427FDB">
              <w:rPr>
                <w:rFonts w:ascii="Arial Narrow" w:hAnsi="Arial Narrow" w:cs="Arial"/>
                <w:sz w:val="18"/>
                <w:szCs w:val="18"/>
              </w:rPr>
              <w:t xml:space="preserve"> </w:t>
            </w:r>
            <w:r w:rsidRPr="00427FDB">
              <w:rPr>
                <w:rFonts w:ascii="Arial Narrow" w:hAnsi="Arial Narrow" w:cs="Arial"/>
                <w:sz w:val="18"/>
                <w:szCs w:val="18"/>
              </w:rPr>
              <w:t>m</w:t>
            </w:r>
            <w:r w:rsidRPr="00427FDB">
              <w:rPr>
                <w:rFonts w:ascii="Arial Narrow" w:hAnsi="Arial Narrow" w:cs="Arial"/>
                <w:sz w:val="18"/>
                <w:szCs w:val="18"/>
                <w:vertAlign w:val="superscript"/>
              </w:rPr>
              <w:t>3</w:t>
            </w:r>
          </w:p>
        </w:tc>
        <w:tc>
          <w:tcPr>
            <w:tcW w:w="531" w:type="pct"/>
            <w:shd w:val="clear" w:color="auto" w:fill="auto"/>
            <w:vAlign w:val="center"/>
          </w:tcPr>
          <w:p w14:paraId="4D32A0E3" w14:textId="77777777" w:rsidR="00646E34" w:rsidRPr="00427FDB" w:rsidRDefault="0017149D"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94,4%</w:t>
            </w:r>
          </w:p>
        </w:tc>
      </w:tr>
      <w:tr w:rsidR="00646E34" w:rsidRPr="00E5573E" w14:paraId="4B1E29DF" w14:textId="77777777" w:rsidTr="00132A04">
        <w:trPr>
          <w:trHeight w:hRule="exact" w:val="567"/>
        </w:trPr>
        <w:tc>
          <w:tcPr>
            <w:tcW w:w="300" w:type="pct"/>
            <w:shd w:val="clear" w:color="auto" w:fill="D9D9D9" w:themeFill="background1" w:themeFillShade="D9"/>
            <w:tcMar>
              <w:top w:w="15" w:type="dxa"/>
              <w:left w:w="15" w:type="dxa"/>
              <w:bottom w:w="0" w:type="dxa"/>
              <w:right w:w="15" w:type="dxa"/>
            </w:tcMar>
            <w:vAlign w:val="center"/>
          </w:tcPr>
          <w:p w14:paraId="50346281" w14:textId="0B295429" w:rsidR="00646E34" w:rsidRPr="00427FDB" w:rsidRDefault="00F74B46" w:rsidP="00132A04">
            <w:pPr>
              <w:spacing w:before="80" w:after="20" w:line="360" w:lineRule="auto"/>
              <w:ind w:right="28"/>
              <w:rPr>
                <w:rFonts w:ascii="Arial Narrow" w:hAnsi="Arial Narrow" w:cs="Arial"/>
                <w:b/>
                <w:color w:val="1F497D"/>
                <w:sz w:val="18"/>
                <w:szCs w:val="18"/>
              </w:rPr>
            </w:pPr>
            <w:r>
              <w:rPr>
                <w:rFonts w:ascii="Arial Narrow" w:hAnsi="Arial Narrow" w:cs="Arial"/>
                <w:b/>
                <w:color w:val="1F497D"/>
                <w:sz w:val="18"/>
                <w:szCs w:val="18"/>
              </w:rPr>
              <w:t xml:space="preserve">  </w:t>
            </w:r>
            <w:r w:rsidR="00646E34" w:rsidRPr="00427FDB">
              <w:rPr>
                <w:rFonts w:ascii="Arial Narrow" w:hAnsi="Arial Narrow" w:cs="Arial"/>
                <w:b/>
                <w:color w:val="1F497D"/>
                <w:sz w:val="18"/>
                <w:szCs w:val="18"/>
              </w:rPr>
              <w:t>2017</w:t>
            </w:r>
          </w:p>
        </w:tc>
        <w:tc>
          <w:tcPr>
            <w:tcW w:w="683" w:type="pct"/>
            <w:shd w:val="clear" w:color="auto" w:fill="auto"/>
            <w:vAlign w:val="center"/>
          </w:tcPr>
          <w:p w14:paraId="04B3C26A"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10,1%</w:t>
            </w:r>
          </w:p>
        </w:tc>
        <w:tc>
          <w:tcPr>
            <w:tcW w:w="683" w:type="pct"/>
            <w:shd w:val="clear" w:color="auto" w:fill="D9D9D9" w:themeFill="background1" w:themeFillShade="D9"/>
            <w:vAlign w:val="center"/>
          </w:tcPr>
          <w:p w14:paraId="7F35FDEC"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14,69 euro</w:t>
            </w:r>
          </w:p>
        </w:tc>
        <w:tc>
          <w:tcPr>
            <w:tcW w:w="683" w:type="pct"/>
            <w:shd w:val="clear" w:color="auto" w:fill="auto"/>
            <w:vAlign w:val="center"/>
          </w:tcPr>
          <w:p w14:paraId="555B4763"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11,94 euro</w:t>
            </w:r>
          </w:p>
        </w:tc>
        <w:tc>
          <w:tcPr>
            <w:tcW w:w="683" w:type="pct"/>
            <w:shd w:val="clear" w:color="auto" w:fill="D9D9D9" w:themeFill="background1" w:themeFillShade="D9"/>
            <w:vAlign w:val="center"/>
          </w:tcPr>
          <w:p w14:paraId="29CE7629"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29,1%</w:t>
            </w:r>
          </w:p>
        </w:tc>
        <w:tc>
          <w:tcPr>
            <w:tcW w:w="683" w:type="pct"/>
            <w:shd w:val="clear" w:color="auto" w:fill="auto"/>
            <w:vAlign w:val="center"/>
          </w:tcPr>
          <w:p w14:paraId="7097CA86" w14:textId="77777777" w:rsidR="00646E34" w:rsidRPr="00427FDB"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531" w:type="pct"/>
            <w:shd w:val="clear" w:color="auto" w:fill="D9D9D9" w:themeFill="background1" w:themeFillShade="D9"/>
            <w:tcMar>
              <w:top w:w="15" w:type="dxa"/>
              <w:left w:w="15" w:type="dxa"/>
              <w:bottom w:w="0" w:type="dxa"/>
              <w:right w:w="15" w:type="dxa"/>
            </w:tcMar>
            <w:vAlign w:val="center"/>
          </w:tcPr>
          <w:p w14:paraId="0A416966" w14:textId="77777777" w:rsidR="00646E34" w:rsidRPr="00427FDB"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531" w:type="pct"/>
            <w:shd w:val="clear" w:color="auto" w:fill="auto"/>
            <w:vAlign w:val="center"/>
          </w:tcPr>
          <w:p w14:paraId="0A752521" w14:textId="77777777" w:rsidR="00646E34" w:rsidRPr="00344406" w:rsidRDefault="0017149D"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t>93,1%</w:t>
            </w:r>
          </w:p>
        </w:tc>
      </w:tr>
      <w:tr w:rsidR="00646E34" w:rsidRPr="00E5573E" w14:paraId="532F241D" w14:textId="77777777" w:rsidTr="00132A04">
        <w:trPr>
          <w:trHeight w:hRule="exact" w:val="567"/>
        </w:trPr>
        <w:tc>
          <w:tcPr>
            <w:tcW w:w="300" w:type="pct"/>
            <w:shd w:val="clear" w:color="auto" w:fill="D9D9D9" w:themeFill="background1" w:themeFillShade="D9"/>
            <w:tcMar>
              <w:top w:w="15" w:type="dxa"/>
              <w:left w:w="15" w:type="dxa"/>
              <w:bottom w:w="0" w:type="dxa"/>
              <w:right w:w="15" w:type="dxa"/>
            </w:tcMar>
            <w:vAlign w:val="center"/>
          </w:tcPr>
          <w:p w14:paraId="5F392368" w14:textId="4B8E5A59" w:rsidR="00646E34" w:rsidRPr="00427FDB" w:rsidDel="00E61DE7" w:rsidRDefault="00F74B46" w:rsidP="00132A04">
            <w:pPr>
              <w:spacing w:before="80" w:after="20" w:line="360" w:lineRule="auto"/>
              <w:ind w:right="28"/>
              <w:rPr>
                <w:rFonts w:ascii="Arial Narrow" w:hAnsi="Arial Narrow" w:cs="Arial"/>
                <w:b/>
                <w:color w:val="1F497D"/>
                <w:sz w:val="18"/>
                <w:szCs w:val="18"/>
              </w:rPr>
            </w:pPr>
            <w:r>
              <w:rPr>
                <w:rFonts w:ascii="Arial Narrow" w:hAnsi="Arial Narrow" w:cs="Arial"/>
                <w:b/>
                <w:color w:val="1F497D"/>
                <w:sz w:val="18"/>
                <w:szCs w:val="18"/>
              </w:rPr>
              <w:t xml:space="preserve">  </w:t>
            </w:r>
            <w:r w:rsidR="00646E34" w:rsidRPr="00427FDB">
              <w:rPr>
                <w:rFonts w:ascii="Arial Narrow" w:hAnsi="Arial Narrow" w:cs="Arial"/>
                <w:b/>
                <w:color w:val="1F497D"/>
                <w:sz w:val="18"/>
                <w:szCs w:val="18"/>
              </w:rPr>
              <w:t>2018</w:t>
            </w:r>
          </w:p>
        </w:tc>
        <w:tc>
          <w:tcPr>
            <w:tcW w:w="683" w:type="pct"/>
            <w:shd w:val="clear" w:color="auto" w:fill="auto"/>
            <w:vAlign w:val="center"/>
          </w:tcPr>
          <w:p w14:paraId="2E102CFE" w14:textId="77777777" w:rsidR="00646E34" w:rsidRPr="00427FDB" w:rsidDel="001408FB"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10,4%</w:t>
            </w:r>
          </w:p>
        </w:tc>
        <w:tc>
          <w:tcPr>
            <w:tcW w:w="683" w:type="pct"/>
            <w:shd w:val="clear" w:color="auto" w:fill="D9D9D9" w:themeFill="background1" w:themeFillShade="D9"/>
            <w:vAlign w:val="center"/>
          </w:tcPr>
          <w:p w14:paraId="3D9AC871" w14:textId="77777777" w:rsidR="00646E34" w:rsidRPr="00427FDB" w:rsidDel="00740B07"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683" w:type="pct"/>
            <w:shd w:val="clear" w:color="auto" w:fill="auto"/>
            <w:vAlign w:val="center"/>
          </w:tcPr>
          <w:p w14:paraId="76086B6B" w14:textId="77777777" w:rsidR="00646E34" w:rsidRPr="00427FDB" w:rsidDel="004D073D"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683" w:type="pct"/>
            <w:shd w:val="clear" w:color="auto" w:fill="D9D9D9" w:themeFill="background1" w:themeFillShade="D9"/>
            <w:vAlign w:val="center"/>
          </w:tcPr>
          <w:p w14:paraId="3C0DD5F1" w14:textId="77777777" w:rsidR="00646E34" w:rsidRPr="00427FDB" w:rsidRDefault="00646E34"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t>29,0%</w:t>
            </w:r>
          </w:p>
        </w:tc>
        <w:tc>
          <w:tcPr>
            <w:tcW w:w="683" w:type="pct"/>
            <w:shd w:val="clear" w:color="auto" w:fill="auto"/>
            <w:vAlign w:val="center"/>
          </w:tcPr>
          <w:p w14:paraId="79D551F1"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531" w:type="pct"/>
            <w:shd w:val="clear" w:color="auto" w:fill="D9D9D9" w:themeFill="background1" w:themeFillShade="D9"/>
            <w:tcMar>
              <w:top w:w="15" w:type="dxa"/>
              <w:left w:w="15" w:type="dxa"/>
              <w:bottom w:w="0" w:type="dxa"/>
              <w:right w:w="15" w:type="dxa"/>
            </w:tcMar>
            <w:vAlign w:val="center"/>
          </w:tcPr>
          <w:p w14:paraId="07B59120" w14:textId="77777777" w:rsidR="00646E34" w:rsidRPr="00427FDB" w:rsidDel="00E61DE7" w:rsidRDefault="00646E34" w:rsidP="00132A04">
            <w:pPr>
              <w:spacing w:before="80" w:after="20" w:line="360" w:lineRule="auto"/>
              <w:ind w:left="142" w:right="28"/>
              <w:jc w:val="center"/>
              <w:rPr>
                <w:rFonts w:ascii="Arial Narrow" w:hAnsi="Arial Narrow" w:cs="Arial"/>
                <w:sz w:val="18"/>
                <w:szCs w:val="18"/>
              </w:rPr>
            </w:pPr>
            <w:r w:rsidRPr="00344406">
              <w:rPr>
                <w:rFonts w:ascii="Arial Narrow" w:hAnsi="Arial Narrow" w:cs="Arial"/>
                <w:sz w:val="18"/>
                <w:szCs w:val="18"/>
              </w:rPr>
              <w:sym w:font="Symbol" w:char="F02D"/>
            </w:r>
          </w:p>
        </w:tc>
        <w:tc>
          <w:tcPr>
            <w:tcW w:w="531" w:type="pct"/>
            <w:shd w:val="clear" w:color="auto" w:fill="auto"/>
            <w:vAlign w:val="center"/>
          </w:tcPr>
          <w:p w14:paraId="5B8D34CB" w14:textId="77777777" w:rsidR="00646E34" w:rsidRPr="00344406" w:rsidRDefault="0017149D" w:rsidP="00132A04">
            <w:pPr>
              <w:spacing w:before="80" w:after="20" w:line="360" w:lineRule="auto"/>
              <w:ind w:left="142" w:right="28"/>
              <w:jc w:val="center"/>
              <w:rPr>
                <w:rFonts w:ascii="Arial Narrow" w:hAnsi="Arial Narrow" w:cs="Arial"/>
                <w:sz w:val="18"/>
                <w:szCs w:val="18"/>
              </w:rPr>
            </w:pPr>
            <w:r w:rsidRPr="00427FDB">
              <w:rPr>
                <w:rFonts w:ascii="Arial Narrow" w:hAnsi="Arial Narrow" w:cs="Arial"/>
                <w:sz w:val="18"/>
                <w:szCs w:val="18"/>
              </w:rPr>
              <w:sym w:font="Symbol" w:char="F02D"/>
            </w:r>
          </w:p>
        </w:tc>
      </w:tr>
    </w:tbl>
    <w:p w14:paraId="52895A9B" w14:textId="1BDFE78C" w:rsidR="00F74B46" w:rsidRDefault="00F74B46" w:rsidP="008E361D">
      <w:pPr>
        <w:spacing w:after="120"/>
        <w:jc w:val="both"/>
        <w:outlineLvl w:val="0"/>
        <w:rPr>
          <w:rFonts w:ascii="Arial" w:hAnsi="Arial" w:cs="Arial"/>
          <w:color w:val="1F497D" w:themeColor="text2"/>
          <w:sz w:val="22"/>
          <w:szCs w:val="22"/>
        </w:rPr>
      </w:pPr>
      <w:r>
        <w:rPr>
          <w:rFonts w:ascii="Arial" w:hAnsi="Arial" w:cs="Arial"/>
          <w:color w:val="1F497D" w:themeColor="text2"/>
          <w:sz w:val="22"/>
          <w:szCs w:val="22"/>
        </w:rPr>
        <w:br w:type="page"/>
      </w:r>
    </w:p>
    <w:p w14:paraId="1405857C" w14:textId="3CE45C1E" w:rsidR="00F61292" w:rsidRPr="00491EFC" w:rsidRDefault="00F61292" w:rsidP="00F61292">
      <w:pPr>
        <w:spacing w:after="120"/>
        <w:jc w:val="both"/>
        <w:outlineLvl w:val="0"/>
        <w:rPr>
          <w:rFonts w:ascii="Arial" w:hAnsi="Arial" w:cs="Arial"/>
          <w:b/>
          <w:color w:val="1F497D" w:themeColor="text2"/>
          <w:sz w:val="26"/>
          <w:szCs w:val="26"/>
        </w:rPr>
      </w:pPr>
      <w:r w:rsidRPr="00427FDB">
        <w:rPr>
          <w:rFonts w:ascii="Arial" w:hAnsi="Arial" w:cs="Arial"/>
          <w:b/>
          <w:color w:val="1F497D" w:themeColor="text2"/>
          <w:sz w:val="26"/>
          <w:szCs w:val="26"/>
        </w:rPr>
        <w:lastRenderedPageBreak/>
        <w:t>A</w:t>
      </w:r>
      <w:r w:rsidRPr="00491EFC">
        <w:rPr>
          <w:rFonts w:ascii="Arial" w:hAnsi="Arial" w:cs="Arial"/>
          <w:b/>
          <w:color w:val="1F497D" w:themeColor="text2"/>
          <w:sz w:val="26"/>
          <w:szCs w:val="26"/>
        </w:rPr>
        <w:t>l Nord la soddisfazione più elevata</w:t>
      </w:r>
      <w:r w:rsidRPr="00427FDB">
        <w:rPr>
          <w:rFonts w:ascii="Arial" w:hAnsi="Arial" w:cs="Arial"/>
          <w:b/>
          <w:color w:val="1F497D" w:themeColor="text2"/>
          <w:sz w:val="26"/>
          <w:szCs w:val="26"/>
        </w:rPr>
        <w:t xml:space="preserve"> per la fornitura </w:t>
      </w:r>
      <w:r>
        <w:rPr>
          <w:rFonts w:ascii="Arial" w:hAnsi="Arial" w:cs="Arial"/>
          <w:b/>
          <w:color w:val="1F497D" w:themeColor="text2"/>
          <w:sz w:val="26"/>
          <w:szCs w:val="26"/>
        </w:rPr>
        <w:t xml:space="preserve">di </w:t>
      </w:r>
      <w:r w:rsidRPr="00427FDB">
        <w:rPr>
          <w:rFonts w:ascii="Arial" w:hAnsi="Arial" w:cs="Arial"/>
          <w:b/>
          <w:color w:val="1F497D" w:themeColor="text2"/>
          <w:sz w:val="26"/>
          <w:szCs w:val="26"/>
        </w:rPr>
        <w:t>acqua nelle abitazioni</w:t>
      </w:r>
    </w:p>
    <w:p w14:paraId="32DEA789" w14:textId="77777777" w:rsidR="00F61292" w:rsidRDefault="00F61292" w:rsidP="00F61292">
      <w:pPr>
        <w:spacing w:after="120"/>
        <w:jc w:val="both"/>
        <w:rPr>
          <w:rFonts w:ascii="Arial" w:hAnsi="Arial" w:cs="Arial"/>
          <w:color w:val="1F497D" w:themeColor="text2"/>
          <w:sz w:val="22"/>
          <w:szCs w:val="22"/>
        </w:rPr>
      </w:pPr>
      <w:r w:rsidRPr="00491EFC">
        <w:rPr>
          <w:rFonts w:ascii="Arial" w:hAnsi="Arial" w:cs="Arial"/>
          <w:sz w:val="22"/>
          <w:szCs w:val="22"/>
        </w:rPr>
        <w:t>L</w:t>
      </w:r>
      <w:r w:rsidRPr="00427FDB">
        <w:rPr>
          <w:rFonts w:ascii="Arial" w:hAnsi="Arial" w:cs="Arial"/>
          <w:sz w:val="22"/>
          <w:szCs w:val="22"/>
        </w:rPr>
        <w:t>a fornitura di acqua potabile</w:t>
      </w:r>
      <w:r w:rsidRPr="00491EFC">
        <w:rPr>
          <w:rFonts w:ascii="Arial" w:hAnsi="Arial" w:cs="Arial"/>
          <w:sz w:val="22"/>
          <w:szCs w:val="22"/>
        </w:rPr>
        <w:t xml:space="preserve"> è valutata </w:t>
      </w:r>
      <w:r>
        <w:rPr>
          <w:rFonts w:ascii="Arial" w:hAnsi="Arial" w:cs="Arial"/>
          <w:sz w:val="22"/>
          <w:szCs w:val="22"/>
        </w:rPr>
        <w:t xml:space="preserve">dalle famiglie </w:t>
      </w:r>
      <w:r w:rsidRPr="00491EFC">
        <w:rPr>
          <w:rFonts w:ascii="Arial" w:hAnsi="Arial" w:cs="Arial"/>
          <w:sz w:val="22"/>
          <w:szCs w:val="22"/>
        </w:rPr>
        <w:t>sotto vari aspetti: interruzioni del</w:t>
      </w:r>
      <w:r w:rsidRPr="00427FDB">
        <w:rPr>
          <w:rFonts w:ascii="Arial" w:hAnsi="Arial" w:cs="Arial"/>
          <w:sz w:val="22"/>
          <w:szCs w:val="22"/>
        </w:rPr>
        <w:t xml:space="preserve"> servizio</w:t>
      </w:r>
      <w:r w:rsidRPr="00491EFC">
        <w:rPr>
          <w:rFonts w:ascii="Arial" w:hAnsi="Arial" w:cs="Arial"/>
          <w:sz w:val="22"/>
          <w:szCs w:val="22"/>
        </w:rPr>
        <w:t xml:space="preserve">, livello di pressione dell’acqua, odore, sapore e limpidezza dell’acqua, frequenza di lettura dei contatori e della fatturazione, comprensibilità delle bollette. Il giudizio di moderata soddisfazione su tali </w:t>
      </w:r>
      <w:r>
        <w:rPr>
          <w:rFonts w:ascii="Arial" w:hAnsi="Arial" w:cs="Arial"/>
          <w:sz w:val="22"/>
          <w:szCs w:val="22"/>
        </w:rPr>
        <w:t xml:space="preserve">aspetti del </w:t>
      </w:r>
      <w:r w:rsidRPr="00491EFC">
        <w:rPr>
          <w:rFonts w:ascii="Arial" w:hAnsi="Arial" w:cs="Arial"/>
          <w:sz w:val="22"/>
          <w:szCs w:val="22"/>
        </w:rPr>
        <w:t>servizi</w:t>
      </w:r>
      <w:r>
        <w:rPr>
          <w:rFonts w:ascii="Arial" w:hAnsi="Arial" w:cs="Arial"/>
          <w:sz w:val="22"/>
          <w:szCs w:val="22"/>
        </w:rPr>
        <w:t>o</w:t>
      </w:r>
      <w:r w:rsidRPr="00491EFC">
        <w:rPr>
          <w:rFonts w:ascii="Arial" w:hAnsi="Arial" w:cs="Arial"/>
          <w:sz w:val="22"/>
          <w:szCs w:val="22"/>
        </w:rPr>
        <w:t xml:space="preserve"> prevale nettamente sulla piena soddisfazione.</w:t>
      </w:r>
    </w:p>
    <w:p w14:paraId="2D73324C" w14:textId="4400EA3D" w:rsidR="00FA1E69" w:rsidRPr="001029F7" w:rsidRDefault="00FA1E69" w:rsidP="00FA1E69">
      <w:pPr>
        <w:spacing w:after="120"/>
        <w:jc w:val="both"/>
        <w:rPr>
          <w:rFonts w:ascii="Arial" w:hAnsi="Arial" w:cs="Arial"/>
          <w:sz w:val="22"/>
          <w:szCs w:val="22"/>
        </w:rPr>
      </w:pPr>
      <w:r w:rsidRPr="001029F7">
        <w:rPr>
          <w:rFonts w:ascii="Arial" w:hAnsi="Arial" w:cs="Arial"/>
          <w:sz w:val="22"/>
          <w:szCs w:val="22"/>
        </w:rPr>
        <w:t>Il Nord mostra sempre le quote più elevate di famiglie molto o abbastanza soddisfatte</w:t>
      </w:r>
      <w:r w:rsidR="003F4CBC">
        <w:rPr>
          <w:rFonts w:ascii="Arial" w:hAnsi="Arial" w:cs="Arial"/>
          <w:sz w:val="22"/>
          <w:szCs w:val="22"/>
        </w:rPr>
        <w:t>;</w:t>
      </w:r>
      <w:r w:rsidRPr="001029F7">
        <w:rPr>
          <w:rFonts w:ascii="Arial" w:hAnsi="Arial" w:cs="Arial"/>
          <w:sz w:val="22"/>
          <w:szCs w:val="22"/>
        </w:rPr>
        <w:t xml:space="preserve"> </w:t>
      </w:r>
      <w:r w:rsidR="007B2CFE">
        <w:rPr>
          <w:rFonts w:ascii="Arial" w:hAnsi="Arial" w:cs="Arial"/>
          <w:sz w:val="22"/>
          <w:szCs w:val="22"/>
        </w:rPr>
        <w:t>i valori</w:t>
      </w:r>
      <w:r w:rsidR="007B2CFE" w:rsidRPr="001029F7">
        <w:rPr>
          <w:rFonts w:ascii="Arial" w:hAnsi="Arial" w:cs="Arial"/>
          <w:sz w:val="22"/>
          <w:szCs w:val="22"/>
        </w:rPr>
        <w:t xml:space="preserve"> </w:t>
      </w:r>
      <w:r w:rsidRPr="001029F7">
        <w:rPr>
          <w:rFonts w:ascii="Arial" w:hAnsi="Arial" w:cs="Arial"/>
          <w:sz w:val="22"/>
          <w:szCs w:val="22"/>
        </w:rPr>
        <w:t xml:space="preserve">declinano nelle altre ripartizioni geografiche </w:t>
      </w:r>
      <w:r w:rsidR="007B2CFE">
        <w:rPr>
          <w:rFonts w:ascii="Arial" w:hAnsi="Arial" w:cs="Arial"/>
          <w:sz w:val="22"/>
          <w:szCs w:val="22"/>
        </w:rPr>
        <w:t xml:space="preserve">raggiungendo </w:t>
      </w:r>
      <w:r w:rsidRPr="001029F7">
        <w:rPr>
          <w:rFonts w:ascii="Arial" w:hAnsi="Arial" w:cs="Arial"/>
          <w:sz w:val="22"/>
          <w:szCs w:val="22"/>
        </w:rPr>
        <w:t>il minimo nelle Isole.</w:t>
      </w:r>
    </w:p>
    <w:p w14:paraId="375D6893" w14:textId="78DD9EFD" w:rsidR="008B718B" w:rsidRPr="00F212C0" w:rsidRDefault="008B718B" w:rsidP="008B718B">
      <w:pPr>
        <w:spacing w:after="120"/>
        <w:jc w:val="both"/>
        <w:rPr>
          <w:rFonts w:ascii="Arial" w:hAnsi="Arial" w:cs="Arial"/>
          <w:sz w:val="22"/>
          <w:szCs w:val="22"/>
        </w:rPr>
      </w:pPr>
      <w:r w:rsidRPr="00F212C0">
        <w:rPr>
          <w:rFonts w:ascii="Arial" w:hAnsi="Arial" w:cs="Arial"/>
          <w:sz w:val="22"/>
          <w:szCs w:val="22"/>
        </w:rPr>
        <w:t xml:space="preserve">Rispetto all’assenza di interruzioni della fornitura, l’87,4% delle famiglie dichiara di essere molto o abbastanza </w:t>
      </w:r>
      <w:r w:rsidR="00AA66B7" w:rsidRPr="00F212C0">
        <w:rPr>
          <w:rFonts w:ascii="Arial" w:hAnsi="Arial" w:cs="Arial"/>
          <w:sz w:val="22"/>
          <w:szCs w:val="22"/>
        </w:rPr>
        <w:t>soddisfatt</w:t>
      </w:r>
      <w:r w:rsidR="00AA66B7">
        <w:rPr>
          <w:rFonts w:ascii="Arial" w:hAnsi="Arial" w:cs="Arial"/>
          <w:sz w:val="22"/>
          <w:szCs w:val="22"/>
        </w:rPr>
        <w:t>o</w:t>
      </w:r>
      <w:r w:rsidRPr="00F212C0">
        <w:rPr>
          <w:rFonts w:ascii="Arial" w:hAnsi="Arial" w:cs="Arial"/>
          <w:sz w:val="22"/>
          <w:szCs w:val="22"/>
        </w:rPr>
        <w:t xml:space="preserve">. Tuttavia, in Calabria e Sicilia </w:t>
      </w:r>
      <w:r w:rsidR="009B2366">
        <w:rPr>
          <w:rFonts w:ascii="Arial" w:hAnsi="Arial" w:cs="Arial"/>
          <w:sz w:val="22"/>
          <w:szCs w:val="22"/>
        </w:rPr>
        <w:t>quelle</w:t>
      </w:r>
      <w:r w:rsidRPr="00F212C0">
        <w:rPr>
          <w:rFonts w:ascii="Arial" w:hAnsi="Arial" w:cs="Arial"/>
          <w:sz w:val="22"/>
          <w:szCs w:val="22"/>
        </w:rPr>
        <w:t xml:space="preserve"> poco o per niente soddisfatte raggiungono il 40,2% e il 31,9%.</w:t>
      </w:r>
    </w:p>
    <w:p w14:paraId="15819683" w14:textId="7226EC84" w:rsidR="00033419" w:rsidRPr="00166CBD" w:rsidRDefault="00033419" w:rsidP="009A13F8">
      <w:pPr>
        <w:spacing w:after="120"/>
        <w:jc w:val="both"/>
        <w:rPr>
          <w:rFonts w:ascii="Arial" w:hAnsi="Arial" w:cs="Arial"/>
          <w:sz w:val="22"/>
          <w:szCs w:val="22"/>
        </w:rPr>
      </w:pPr>
      <w:r w:rsidRPr="001122CA">
        <w:rPr>
          <w:rFonts w:ascii="Arial" w:hAnsi="Arial" w:cs="Arial"/>
          <w:sz w:val="22"/>
          <w:szCs w:val="22"/>
        </w:rPr>
        <w:t>Sul giudizio nei confronti del livello</w:t>
      </w:r>
      <w:r w:rsidRPr="001122CA">
        <w:rPr>
          <w:rFonts w:ascii="Arial" w:hAnsi="Arial" w:cs="Arial"/>
          <w:b/>
          <w:color w:val="1F497D" w:themeColor="text2"/>
          <w:sz w:val="26"/>
          <w:szCs w:val="26"/>
        </w:rPr>
        <w:t xml:space="preserve"> </w:t>
      </w:r>
      <w:r w:rsidRPr="001122CA">
        <w:rPr>
          <w:rFonts w:ascii="Arial" w:hAnsi="Arial" w:cs="Arial"/>
          <w:sz w:val="22"/>
          <w:szCs w:val="22"/>
        </w:rPr>
        <w:t>di pressione dell’acqua le famiglie molto o abbastanza soddisfatte sono l’83,1%. Ancora una volta, le quote</w:t>
      </w:r>
      <w:r w:rsidR="00B26EE6">
        <w:rPr>
          <w:rFonts w:ascii="Arial" w:hAnsi="Arial" w:cs="Arial"/>
          <w:sz w:val="22"/>
          <w:szCs w:val="22"/>
        </w:rPr>
        <w:t xml:space="preserve"> più alte </w:t>
      </w:r>
      <w:r w:rsidRPr="001122CA">
        <w:rPr>
          <w:rFonts w:ascii="Arial" w:hAnsi="Arial" w:cs="Arial"/>
          <w:sz w:val="22"/>
          <w:szCs w:val="22"/>
        </w:rPr>
        <w:t xml:space="preserve">di famiglie poco o per niente soddisfatte </w:t>
      </w:r>
      <w:r w:rsidR="00B26EE6">
        <w:rPr>
          <w:rFonts w:ascii="Arial" w:hAnsi="Arial" w:cs="Arial"/>
          <w:sz w:val="22"/>
          <w:szCs w:val="22"/>
        </w:rPr>
        <w:t xml:space="preserve">si registrano </w:t>
      </w:r>
      <w:r w:rsidR="00B26EE6" w:rsidRPr="00166CBD">
        <w:rPr>
          <w:rFonts w:ascii="Arial" w:hAnsi="Arial" w:cs="Arial"/>
          <w:sz w:val="22"/>
          <w:szCs w:val="22"/>
        </w:rPr>
        <w:t>in Calabria (33,7%) e Sicilia (29,6%)</w:t>
      </w:r>
      <w:r w:rsidRPr="00166CBD">
        <w:rPr>
          <w:rFonts w:ascii="Arial" w:hAnsi="Arial" w:cs="Arial"/>
          <w:sz w:val="22"/>
          <w:szCs w:val="22"/>
        </w:rPr>
        <w:t>.</w:t>
      </w:r>
    </w:p>
    <w:p w14:paraId="2777E187" w14:textId="69295A4D" w:rsidR="00033419" w:rsidRPr="00166CBD" w:rsidRDefault="00033419" w:rsidP="009A13F8">
      <w:pPr>
        <w:spacing w:after="120"/>
        <w:jc w:val="both"/>
        <w:rPr>
          <w:rFonts w:ascii="Arial" w:hAnsi="Arial" w:cs="Arial"/>
          <w:sz w:val="22"/>
          <w:szCs w:val="22"/>
        </w:rPr>
      </w:pPr>
      <w:r w:rsidRPr="00166CBD">
        <w:rPr>
          <w:rFonts w:ascii="Arial" w:hAnsi="Arial" w:cs="Arial"/>
          <w:sz w:val="22"/>
          <w:szCs w:val="22"/>
        </w:rPr>
        <w:t>Riguardo all’odore, al sapore e alla limpidezza dell’acqua, le famiglie che si ritengono molto o abbastanza soddisfatte sono il 72,3%</w:t>
      </w:r>
      <w:r w:rsidR="00B26EE6" w:rsidRPr="00166CBD">
        <w:rPr>
          <w:rFonts w:ascii="Arial" w:hAnsi="Arial" w:cs="Arial"/>
          <w:sz w:val="22"/>
          <w:szCs w:val="22"/>
        </w:rPr>
        <w:t xml:space="preserve">, </w:t>
      </w:r>
      <w:r w:rsidR="009B2366" w:rsidRPr="00166CBD">
        <w:rPr>
          <w:rFonts w:ascii="Arial" w:hAnsi="Arial" w:cs="Arial"/>
          <w:sz w:val="22"/>
          <w:szCs w:val="22"/>
        </w:rPr>
        <w:t xml:space="preserve">poco più di </w:t>
      </w:r>
      <w:r w:rsidR="00761355" w:rsidRPr="00166CBD">
        <w:rPr>
          <w:rFonts w:ascii="Arial" w:hAnsi="Arial" w:cs="Arial"/>
          <w:sz w:val="22"/>
          <w:szCs w:val="22"/>
        </w:rPr>
        <w:t xml:space="preserve">un </w:t>
      </w:r>
      <w:r w:rsidR="009B2366" w:rsidRPr="00166CBD">
        <w:rPr>
          <w:rFonts w:ascii="Arial" w:hAnsi="Arial" w:cs="Arial"/>
          <w:sz w:val="22"/>
          <w:szCs w:val="22"/>
        </w:rPr>
        <w:t xml:space="preserve">quarto (26,8%) </w:t>
      </w:r>
      <w:r w:rsidR="00B26EE6" w:rsidRPr="00166CBD">
        <w:rPr>
          <w:rFonts w:ascii="Arial" w:hAnsi="Arial" w:cs="Arial"/>
          <w:sz w:val="22"/>
          <w:szCs w:val="22"/>
        </w:rPr>
        <w:t>quelle</w:t>
      </w:r>
      <w:r w:rsidRPr="00166CBD">
        <w:rPr>
          <w:rFonts w:ascii="Arial" w:hAnsi="Arial" w:cs="Arial"/>
          <w:sz w:val="22"/>
          <w:szCs w:val="22"/>
        </w:rPr>
        <w:t xml:space="preserve"> poco o per niente soddisfatte. La quota di famiglie insoddisfatte </w:t>
      </w:r>
      <w:r w:rsidR="009B2366" w:rsidRPr="00166CBD">
        <w:rPr>
          <w:rFonts w:ascii="Arial" w:hAnsi="Arial" w:cs="Arial"/>
          <w:sz w:val="22"/>
          <w:szCs w:val="22"/>
        </w:rPr>
        <w:t>è molto più alta</w:t>
      </w:r>
      <w:r w:rsidRPr="00166CBD">
        <w:rPr>
          <w:rFonts w:ascii="Arial" w:hAnsi="Arial" w:cs="Arial"/>
          <w:sz w:val="22"/>
          <w:szCs w:val="22"/>
        </w:rPr>
        <w:t xml:space="preserve"> in Sicilia (49,7%), Sardegna (42,7%) e Calabria (41,5%).</w:t>
      </w:r>
    </w:p>
    <w:p w14:paraId="3D13CBE3" w14:textId="77777777" w:rsidR="00033419" w:rsidRPr="001122CA" w:rsidRDefault="00033419" w:rsidP="009A13F8">
      <w:pPr>
        <w:spacing w:after="120"/>
        <w:jc w:val="both"/>
        <w:rPr>
          <w:rFonts w:ascii="Arial" w:hAnsi="Arial" w:cs="Arial"/>
          <w:sz w:val="22"/>
          <w:szCs w:val="22"/>
        </w:rPr>
      </w:pPr>
      <w:r w:rsidRPr="001122CA">
        <w:rPr>
          <w:rFonts w:ascii="Arial" w:hAnsi="Arial" w:cs="Arial"/>
          <w:sz w:val="22"/>
          <w:szCs w:val="22"/>
        </w:rPr>
        <w:t>Sulla frequenza di lettura dei contatori, sette famiglie su dieci dichiarano di essere molto o abbastanza soddisfatte</w:t>
      </w:r>
      <w:r w:rsidR="00585AAC">
        <w:rPr>
          <w:rFonts w:ascii="Arial" w:hAnsi="Arial" w:cs="Arial"/>
          <w:sz w:val="22"/>
          <w:szCs w:val="22"/>
        </w:rPr>
        <w:t>. A</w:t>
      </w:r>
      <w:r w:rsidRPr="001122CA">
        <w:rPr>
          <w:rFonts w:ascii="Arial" w:hAnsi="Arial" w:cs="Arial"/>
          <w:sz w:val="22"/>
          <w:szCs w:val="22"/>
        </w:rPr>
        <w:t>nche in questo caso è ragguardevole la quota di famiglie poco o per niente soddisfatte (26,4%). Percentuali molto superiori al valore medio si registrano in Sicilia (48,0%), Calabria (42,1%) e Campania (41,9%).</w:t>
      </w:r>
    </w:p>
    <w:p w14:paraId="3B81A71F" w14:textId="77777777" w:rsidR="00033419" w:rsidRPr="001122CA" w:rsidRDefault="00033419" w:rsidP="009A13F8">
      <w:pPr>
        <w:spacing w:after="120"/>
        <w:jc w:val="both"/>
        <w:rPr>
          <w:rFonts w:ascii="Arial" w:hAnsi="Arial" w:cs="Arial"/>
          <w:sz w:val="22"/>
          <w:szCs w:val="22"/>
        </w:rPr>
      </w:pPr>
      <w:r w:rsidRPr="001122CA">
        <w:rPr>
          <w:rFonts w:ascii="Arial" w:hAnsi="Arial" w:cs="Arial"/>
          <w:sz w:val="22"/>
          <w:szCs w:val="22"/>
        </w:rPr>
        <w:t>Quanto al giudizio sulla frequenza della fatturazione, le famiglie molto o abbastanza soddisfatte sono il 78,2%. In Sicilia la percentuale di famiglie poco o per niente soddisfatte raggiunge il 42,1%</w:t>
      </w:r>
      <w:r w:rsidR="00B56FCE">
        <w:rPr>
          <w:rFonts w:ascii="Arial" w:hAnsi="Arial" w:cs="Arial"/>
          <w:sz w:val="22"/>
          <w:szCs w:val="22"/>
        </w:rPr>
        <w:t>. M</w:t>
      </w:r>
      <w:r w:rsidRPr="001122CA">
        <w:rPr>
          <w:rFonts w:ascii="Arial" w:hAnsi="Arial" w:cs="Arial"/>
          <w:sz w:val="22"/>
          <w:szCs w:val="22"/>
        </w:rPr>
        <w:t>eno alte, ma pur sempre considerevoli, le percentuali in Calabria (39,3%) e Sardegna (37,8%).</w:t>
      </w:r>
    </w:p>
    <w:p w14:paraId="77F51A10" w14:textId="24E97B47" w:rsidR="00033419" w:rsidRPr="00FA1E69" w:rsidRDefault="009B2366" w:rsidP="009A13F8">
      <w:pPr>
        <w:spacing w:after="120"/>
        <w:jc w:val="both"/>
        <w:rPr>
          <w:rFonts w:ascii="Arial" w:hAnsi="Arial" w:cs="Arial"/>
          <w:sz w:val="22"/>
          <w:szCs w:val="22"/>
        </w:rPr>
      </w:pPr>
      <w:r>
        <w:rPr>
          <w:rFonts w:ascii="Arial" w:hAnsi="Arial" w:cs="Arial"/>
          <w:sz w:val="22"/>
          <w:szCs w:val="22"/>
        </w:rPr>
        <w:t xml:space="preserve">Il livello di soddisfazione delle famiglie è più basso riguardo </w:t>
      </w:r>
      <w:r w:rsidR="00761355">
        <w:rPr>
          <w:rFonts w:ascii="Arial" w:hAnsi="Arial" w:cs="Arial"/>
          <w:sz w:val="22"/>
          <w:szCs w:val="22"/>
        </w:rPr>
        <w:t>al</w:t>
      </w:r>
      <w:r>
        <w:rPr>
          <w:rFonts w:ascii="Arial" w:hAnsi="Arial" w:cs="Arial"/>
          <w:sz w:val="22"/>
          <w:szCs w:val="22"/>
        </w:rPr>
        <w:t>la</w:t>
      </w:r>
      <w:r w:rsidRPr="00FA1E69">
        <w:rPr>
          <w:rFonts w:ascii="Arial" w:hAnsi="Arial" w:cs="Arial"/>
          <w:sz w:val="22"/>
          <w:szCs w:val="22"/>
        </w:rPr>
        <w:t xml:space="preserve"> comprensibilità delle bollette</w:t>
      </w:r>
      <w:r w:rsidR="004A0477">
        <w:rPr>
          <w:rFonts w:ascii="Arial" w:hAnsi="Arial" w:cs="Arial"/>
          <w:sz w:val="22"/>
          <w:szCs w:val="22"/>
        </w:rPr>
        <w:t>:</w:t>
      </w:r>
      <w:r>
        <w:rPr>
          <w:rFonts w:ascii="Arial" w:hAnsi="Arial" w:cs="Arial"/>
          <w:sz w:val="22"/>
          <w:szCs w:val="22"/>
        </w:rPr>
        <w:t xml:space="preserve"> solo sei su dieci </w:t>
      </w:r>
      <w:r w:rsidR="00033419" w:rsidRPr="00FA1E69">
        <w:rPr>
          <w:rFonts w:ascii="Arial" w:hAnsi="Arial" w:cs="Arial"/>
          <w:sz w:val="22"/>
          <w:szCs w:val="22"/>
        </w:rPr>
        <w:t>dichiarano di essere molto o abbastanza soddisfatte</w:t>
      </w:r>
      <w:r>
        <w:rPr>
          <w:rFonts w:ascii="Arial" w:hAnsi="Arial" w:cs="Arial"/>
          <w:sz w:val="22"/>
          <w:szCs w:val="22"/>
        </w:rPr>
        <w:t xml:space="preserve">. </w:t>
      </w:r>
      <w:r w:rsidR="00FA1E69" w:rsidRPr="00427FDB">
        <w:rPr>
          <w:rFonts w:ascii="Arial" w:hAnsi="Arial" w:cs="Arial"/>
          <w:sz w:val="22"/>
          <w:szCs w:val="22"/>
        </w:rPr>
        <w:t>L</w:t>
      </w:r>
      <w:r w:rsidR="00033419" w:rsidRPr="00FA1E69">
        <w:rPr>
          <w:rFonts w:ascii="Arial" w:hAnsi="Arial" w:cs="Arial"/>
          <w:sz w:val="22"/>
          <w:szCs w:val="22"/>
        </w:rPr>
        <w:t xml:space="preserve">e famiglie poco o per niente soddisfatte </w:t>
      </w:r>
      <w:r w:rsidR="00F11A06">
        <w:rPr>
          <w:rFonts w:ascii="Arial" w:hAnsi="Arial" w:cs="Arial"/>
          <w:sz w:val="22"/>
          <w:szCs w:val="22"/>
        </w:rPr>
        <w:t>sono</w:t>
      </w:r>
      <w:r w:rsidR="00033419" w:rsidRPr="00FA1E69">
        <w:rPr>
          <w:rFonts w:ascii="Arial" w:hAnsi="Arial" w:cs="Arial"/>
          <w:sz w:val="22"/>
          <w:szCs w:val="22"/>
        </w:rPr>
        <w:t xml:space="preserve"> il 37,3%</w:t>
      </w:r>
      <w:r w:rsidR="00947FBB">
        <w:rPr>
          <w:rFonts w:ascii="Arial" w:hAnsi="Arial" w:cs="Arial"/>
          <w:sz w:val="22"/>
          <w:szCs w:val="22"/>
        </w:rPr>
        <w:t>,</w:t>
      </w:r>
      <w:r w:rsidR="00FA1E69" w:rsidRPr="00427FDB">
        <w:rPr>
          <w:rFonts w:ascii="Arial" w:hAnsi="Arial" w:cs="Arial"/>
          <w:sz w:val="22"/>
          <w:szCs w:val="22"/>
        </w:rPr>
        <w:t xml:space="preserve"> </w:t>
      </w:r>
      <w:r w:rsidRPr="00427FDB">
        <w:rPr>
          <w:rFonts w:ascii="Arial" w:hAnsi="Arial" w:cs="Arial"/>
          <w:sz w:val="22"/>
          <w:szCs w:val="22"/>
        </w:rPr>
        <w:t>m</w:t>
      </w:r>
      <w:r>
        <w:rPr>
          <w:rFonts w:ascii="Arial" w:hAnsi="Arial" w:cs="Arial"/>
          <w:sz w:val="22"/>
          <w:szCs w:val="22"/>
        </w:rPr>
        <w:t>a</w:t>
      </w:r>
      <w:r w:rsidRPr="00427FDB">
        <w:rPr>
          <w:rFonts w:ascii="Arial" w:hAnsi="Arial" w:cs="Arial"/>
          <w:sz w:val="22"/>
          <w:szCs w:val="22"/>
        </w:rPr>
        <w:t xml:space="preserve"> </w:t>
      </w:r>
      <w:r w:rsidRPr="00FA1E69">
        <w:rPr>
          <w:rFonts w:ascii="Arial" w:hAnsi="Arial" w:cs="Arial"/>
          <w:sz w:val="22"/>
          <w:szCs w:val="22"/>
        </w:rPr>
        <w:t>la quota aumenta sensibilmente</w:t>
      </w:r>
      <w:r w:rsidRPr="00427FDB">
        <w:rPr>
          <w:rFonts w:ascii="Arial" w:hAnsi="Arial" w:cs="Arial"/>
          <w:sz w:val="22"/>
          <w:szCs w:val="22"/>
        </w:rPr>
        <w:t xml:space="preserve"> </w:t>
      </w:r>
      <w:r w:rsidR="00FA1E69" w:rsidRPr="00427FDB">
        <w:rPr>
          <w:rFonts w:ascii="Arial" w:hAnsi="Arial" w:cs="Arial"/>
          <w:sz w:val="22"/>
          <w:szCs w:val="22"/>
        </w:rPr>
        <w:t>i</w:t>
      </w:r>
      <w:r w:rsidR="00033419" w:rsidRPr="00FA1E69">
        <w:rPr>
          <w:rFonts w:ascii="Arial" w:hAnsi="Arial" w:cs="Arial"/>
          <w:sz w:val="22"/>
          <w:szCs w:val="22"/>
        </w:rPr>
        <w:t>n tre regioni del Mezzogiorno, al punto da interessare circa la metà delle famiglie: Campania (51,5%), Sicilia (50,6%) e Sardegna (49,4%).</w:t>
      </w:r>
    </w:p>
    <w:p w14:paraId="10F5D4CC" w14:textId="77777777" w:rsidR="004D50ED" w:rsidRPr="00132A04" w:rsidRDefault="004D50ED" w:rsidP="009A13F8">
      <w:pPr>
        <w:spacing w:after="120"/>
        <w:rPr>
          <w:rFonts w:ascii="Arial" w:hAnsi="Arial" w:cs="Arial"/>
          <w:b/>
          <w:color w:val="1F497D" w:themeColor="text2"/>
          <w:sz w:val="32"/>
          <w:szCs w:val="12"/>
        </w:rPr>
      </w:pPr>
    </w:p>
    <w:p w14:paraId="317451BD" w14:textId="77777777" w:rsidR="004E6685" w:rsidRDefault="004E6685" w:rsidP="004E6685">
      <w:pPr>
        <w:spacing w:after="120"/>
        <w:jc w:val="both"/>
        <w:rPr>
          <w:rFonts w:ascii="Arial" w:hAnsi="Arial" w:cs="Arial"/>
          <w:sz w:val="22"/>
          <w:szCs w:val="22"/>
        </w:rPr>
      </w:pPr>
    </w:p>
    <w:p w14:paraId="5670990C" w14:textId="77777777" w:rsidR="004E6685" w:rsidRPr="004E6685" w:rsidRDefault="004E6685" w:rsidP="004E6685">
      <w:pPr>
        <w:spacing w:after="120"/>
        <w:jc w:val="both"/>
        <w:rPr>
          <w:rFonts w:ascii="Arial" w:hAnsi="Arial" w:cs="Arial"/>
          <w:sz w:val="22"/>
          <w:szCs w:val="22"/>
        </w:rPr>
      </w:pPr>
    </w:p>
    <w:p w14:paraId="38AC55F3" w14:textId="77777777" w:rsidR="004E6685" w:rsidRPr="004E6685" w:rsidRDefault="004E6685" w:rsidP="004E6685">
      <w:pPr>
        <w:spacing w:after="120"/>
        <w:jc w:val="both"/>
        <w:rPr>
          <w:rFonts w:ascii="Arial" w:hAnsi="Arial" w:cs="Arial"/>
          <w:sz w:val="22"/>
          <w:szCs w:val="22"/>
        </w:rPr>
      </w:pPr>
    </w:p>
    <w:p w14:paraId="66DD0D50" w14:textId="77777777" w:rsidR="004E6685" w:rsidRPr="00132A04" w:rsidRDefault="004E6685" w:rsidP="004E6685">
      <w:pPr>
        <w:spacing w:after="120"/>
        <w:jc w:val="both"/>
        <w:rPr>
          <w:rFonts w:ascii="Arial" w:hAnsi="Arial" w:cs="Arial"/>
          <w:sz w:val="32"/>
          <w:szCs w:val="22"/>
        </w:rPr>
      </w:pPr>
    </w:p>
    <w:p w14:paraId="25720C79" w14:textId="77777777" w:rsidR="00D535F1" w:rsidRDefault="00D535F1" w:rsidP="00132A04">
      <w:pPr>
        <w:pStyle w:val="ATitoloTavolaFigura"/>
        <w:keepNext/>
        <w:spacing w:before="120" w:after="120"/>
        <w:ind w:left="0" w:firstLine="0"/>
        <w:rPr>
          <w:rFonts w:ascii="Arial Black" w:hAnsi="Arial Black"/>
          <w:b w:val="0"/>
          <w:iCs/>
          <w:noProof/>
          <w:color w:val="1F497D" w:themeColor="text2"/>
          <w:sz w:val="22"/>
          <w:szCs w:val="22"/>
        </w:rPr>
      </w:pPr>
    </w:p>
    <w:p w14:paraId="519862DA" w14:textId="62CD3C90" w:rsidR="002921F2" w:rsidRPr="00132A04" w:rsidRDefault="00752C9B" w:rsidP="00132A04">
      <w:pPr>
        <w:pStyle w:val="ATitoloTavolaFigura"/>
        <w:keepNext/>
        <w:spacing w:before="120" w:after="120"/>
        <w:ind w:left="0" w:firstLine="0"/>
        <w:rPr>
          <w:rFonts w:ascii="Arial Narrow" w:hAnsi="Arial Narrow"/>
          <w:b w:val="0"/>
          <w:iCs/>
          <w:noProof/>
          <w:color w:val="1F497D" w:themeColor="text2"/>
          <w:sz w:val="6"/>
          <w:szCs w:val="22"/>
        </w:rPr>
      </w:pPr>
      <w:r w:rsidRPr="00C472E3">
        <w:rPr>
          <w:rFonts w:ascii="Arial Black" w:hAnsi="Arial Black"/>
          <w:b w:val="0"/>
          <w:iCs/>
          <w:noProof/>
          <w:color w:val="1F497D" w:themeColor="text2"/>
          <w:sz w:val="22"/>
          <w:szCs w:val="22"/>
        </w:rPr>
        <w:t>FIGURA 1.</w:t>
      </w:r>
      <w:r w:rsidR="006A78F6" w:rsidRPr="00C472E3">
        <w:rPr>
          <w:rFonts w:ascii="Arial Black" w:hAnsi="Arial Black"/>
          <w:b w:val="0"/>
          <w:iCs/>
          <w:noProof/>
          <w:color w:val="1F497D" w:themeColor="text2"/>
          <w:sz w:val="22"/>
          <w:szCs w:val="22"/>
        </w:rPr>
        <w:tab/>
      </w:r>
      <w:r w:rsidR="006A78F6" w:rsidRPr="00952267">
        <w:rPr>
          <w:rFonts w:ascii="Arial Narrow" w:hAnsi="Arial Narrow"/>
          <w:iCs/>
          <w:noProof/>
          <w:color w:val="1F497D" w:themeColor="text2"/>
          <w:sz w:val="22"/>
          <w:szCs w:val="22"/>
        </w:rPr>
        <w:t>FAMIGLIE ALLACCIATE ALLA RETE IDRICA COMUNALE PER GRADO DI SODDISFAZIONE DEL SERVIZIO E REGIONE.</w:t>
      </w:r>
      <w:r w:rsidR="006A78F6" w:rsidRPr="00C472E3">
        <w:rPr>
          <w:rFonts w:ascii="Arial Narrow" w:hAnsi="Arial Narrow"/>
          <w:b w:val="0"/>
          <w:iCs/>
          <w:noProof/>
          <w:color w:val="1F497D" w:themeColor="text2"/>
          <w:sz w:val="22"/>
          <w:szCs w:val="22"/>
        </w:rPr>
        <w:t xml:space="preserve"> </w:t>
      </w:r>
      <w:r w:rsidR="006A78F6" w:rsidRPr="00952267">
        <w:rPr>
          <w:rFonts w:ascii="Arial Narrow" w:hAnsi="Arial Narrow"/>
          <w:b w:val="0"/>
          <w:iCs/>
          <w:noProof/>
          <w:color w:val="1F497D" w:themeColor="text2"/>
          <w:sz w:val="22"/>
          <w:szCs w:val="22"/>
        </w:rPr>
        <w:t>Anno 2018, composizione percentuale</w:t>
      </w:r>
    </w:p>
    <w:p w14:paraId="6DE7CBC2" w14:textId="5D814E1A" w:rsidR="002921F2" w:rsidRPr="00132A04" w:rsidRDefault="002921F2" w:rsidP="00132A04">
      <w:pPr>
        <w:pStyle w:val="ATitoloTavolaFigura"/>
        <w:spacing w:before="240" w:after="0"/>
        <w:ind w:left="0" w:firstLine="0"/>
        <w:jc w:val="left"/>
        <w:rPr>
          <w:rFonts w:ascii="Arial Narrow" w:hAnsi="Arial Narrow"/>
          <w:b w:val="0"/>
          <w:sz w:val="5"/>
          <w:szCs w:val="15"/>
        </w:rPr>
      </w:pPr>
      <w:r>
        <w:rPr>
          <w:rFonts w:ascii="Arial Narrow" w:hAnsi="Arial Narrow"/>
          <w:b w:val="0"/>
          <w:sz w:val="15"/>
          <w:szCs w:val="15"/>
        </w:rPr>
        <w:fldChar w:fldCharType="begin"/>
      </w:r>
      <w:r>
        <w:rPr>
          <w:rFonts w:ascii="Arial Narrow" w:hAnsi="Arial Narrow"/>
          <w:b w:val="0"/>
          <w:sz w:val="15"/>
          <w:szCs w:val="15"/>
        </w:rPr>
        <w:instrText xml:space="preserve"> LINK Excel.Sheet.12 "C:\\Users\\e.vaccaro\\Desktop\\Copia di grafici acqua.xlsx!soddisfazione![Copia di grafici acqua.xlsx]soddisfazioneGrafico 2" "" \a \p </w:instrText>
      </w:r>
      <w:r>
        <w:rPr>
          <w:rFonts w:ascii="Arial Narrow" w:hAnsi="Arial Narrow"/>
          <w:b w:val="0"/>
          <w:sz w:val="15"/>
          <w:szCs w:val="15"/>
        </w:rPr>
        <w:fldChar w:fldCharType="separate"/>
      </w:r>
      <w:r w:rsidR="006E510C">
        <w:rPr>
          <w:rFonts w:ascii="Arial Narrow" w:hAnsi="Arial Narrow"/>
          <w:b w:val="0"/>
          <w:sz w:val="15"/>
          <w:szCs w:val="15"/>
        </w:rPr>
        <w:object w:dxaOrig="13267" w:dyaOrig="4515" w14:anchorId="4BB92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1pt;height:169.35pt">
            <v:imagedata r:id="rId13" o:title=""/>
          </v:shape>
        </w:object>
      </w:r>
      <w:r>
        <w:rPr>
          <w:rFonts w:ascii="Arial Narrow" w:hAnsi="Arial Narrow"/>
          <w:b w:val="0"/>
          <w:sz w:val="15"/>
          <w:szCs w:val="15"/>
        </w:rPr>
        <w:fldChar w:fldCharType="end"/>
      </w:r>
      <w:r w:rsidRPr="00132A04">
        <w:rPr>
          <w:rFonts w:ascii="Arial Narrow" w:hAnsi="Arial Narrow"/>
          <w:noProof/>
          <w:sz w:val="5"/>
          <w:szCs w:val="15"/>
        </w:rPr>
        <mc:AlternateContent>
          <mc:Choice Requires="wps">
            <w:drawing>
              <wp:anchor distT="0" distB="0" distL="114300" distR="114300" simplePos="0" relativeHeight="251658240" behindDoc="0" locked="0" layoutInCell="1" allowOverlap="1" wp14:anchorId="0E8E146F" wp14:editId="423429E9">
                <wp:simplePos x="0" y="0"/>
                <wp:positionH relativeFrom="column">
                  <wp:posOffset>41275</wp:posOffset>
                </wp:positionH>
                <wp:positionV relativeFrom="paragraph">
                  <wp:posOffset>86360</wp:posOffset>
                </wp:positionV>
                <wp:extent cx="320040" cy="2387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8760"/>
                        </a:xfrm>
                        <a:prstGeom prst="rect">
                          <a:avLst/>
                        </a:prstGeom>
                        <a:noFill/>
                        <a:ln w="9525">
                          <a:noFill/>
                          <a:miter lim="800000"/>
                          <a:headEnd/>
                          <a:tailEnd/>
                        </a:ln>
                      </wps:spPr>
                      <wps:txbx>
                        <w:txbxContent>
                          <w:p w14:paraId="1BF6A578" w14:textId="77777777" w:rsidR="00725F0B" w:rsidRPr="00427FDB" w:rsidRDefault="00725F0B" w:rsidP="00725F0B">
                            <w:pPr>
                              <w:rPr>
                                <w:rFonts w:ascii="Arial Narrow" w:hAnsi="Arial Narrow"/>
                                <w:sz w:val="18"/>
                                <w:szCs w:val="18"/>
                              </w:rPr>
                            </w:pPr>
                            <w:r w:rsidRPr="00427FDB">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25pt;margin-top:6.8pt;width:25.2pt;height: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" filled="f" stroked="f">
                <v:textbox>
                  <w:txbxContent>
                    <w:p w14:paraId="1BF6A578" w14:textId="77777777" w:rsidR="00725F0B" w:rsidRPr="00427FDB" w:rsidRDefault="00725F0B" w:rsidP="00725F0B">
                      <w:pPr>
                        <w:rPr>
                          <w:rFonts w:ascii="Arial Narrow" w:hAnsi="Arial Narrow"/>
                          <w:sz w:val="18"/>
                          <w:szCs w:val="18"/>
                        </w:rPr>
                      </w:pPr>
                      <w:r w:rsidRPr="00427FDB">
                        <w:rPr>
                          <w:rFonts w:ascii="Arial Narrow" w:hAnsi="Arial Narrow"/>
                          <w:sz w:val="18"/>
                          <w:szCs w:val="18"/>
                        </w:rPr>
                        <w:t>%</w:t>
                      </w:r>
                    </w:p>
                  </w:txbxContent>
                </v:textbox>
              </v:shape>
            </w:pict>
          </mc:Fallback>
        </mc:AlternateContent>
      </w:r>
    </w:p>
    <w:p w14:paraId="50F019FE" w14:textId="7016734D" w:rsidR="00476028" w:rsidRDefault="006A78F6" w:rsidP="002921F2">
      <w:pPr>
        <w:pStyle w:val="ATitoloTavolaFigura"/>
        <w:spacing w:before="0" w:after="120"/>
        <w:ind w:left="0" w:firstLine="0"/>
        <w:jc w:val="left"/>
        <w:rPr>
          <w:rFonts w:ascii="Arial Narrow" w:hAnsi="Arial Narrow"/>
          <w:b w:val="0"/>
          <w:sz w:val="15"/>
          <w:szCs w:val="15"/>
        </w:rPr>
      </w:pPr>
      <w:r w:rsidRPr="00427FDB">
        <w:rPr>
          <w:rFonts w:ascii="Arial Narrow" w:hAnsi="Arial Narrow"/>
          <w:b w:val="0"/>
          <w:sz w:val="15"/>
          <w:szCs w:val="15"/>
        </w:rPr>
        <w:t>Fonte: Istat, Indagine Aspetti della vita quotidiana</w:t>
      </w:r>
      <w:r w:rsidR="00476028">
        <w:rPr>
          <w:rFonts w:ascii="Arial Narrow" w:hAnsi="Arial Narrow"/>
          <w:b w:val="0"/>
          <w:sz w:val="15"/>
          <w:szCs w:val="15"/>
        </w:rPr>
        <w:br w:type="page"/>
      </w:r>
    </w:p>
    <w:p w14:paraId="2019F0FA" w14:textId="5AC8C248" w:rsidR="004E6685" w:rsidRPr="00F925F2" w:rsidRDefault="004E6685" w:rsidP="004E6685">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lastRenderedPageBreak/>
        <w:t xml:space="preserve">Permangono </w:t>
      </w:r>
      <w:r w:rsidR="0046599A">
        <w:rPr>
          <w:rFonts w:ascii="Arial" w:hAnsi="Arial" w:cs="Arial"/>
          <w:b/>
          <w:color w:val="1F497D" w:themeColor="text2"/>
          <w:sz w:val="26"/>
          <w:szCs w:val="26"/>
        </w:rPr>
        <w:t>disservizi</w:t>
      </w:r>
      <w:r>
        <w:rPr>
          <w:rFonts w:ascii="Arial" w:hAnsi="Arial" w:cs="Arial"/>
          <w:b/>
          <w:color w:val="1F497D" w:themeColor="text2"/>
          <w:sz w:val="26"/>
          <w:szCs w:val="26"/>
        </w:rPr>
        <w:t xml:space="preserve"> nell’e</w:t>
      </w:r>
      <w:r w:rsidRPr="00F925F2">
        <w:rPr>
          <w:rFonts w:ascii="Arial" w:hAnsi="Arial" w:cs="Arial"/>
          <w:b/>
          <w:color w:val="1F497D" w:themeColor="text2"/>
          <w:sz w:val="26"/>
          <w:szCs w:val="26"/>
        </w:rPr>
        <w:t>rogazione dell’acqua nelle abitazioni</w:t>
      </w:r>
    </w:p>
    <w:p w14:paraId="1E3E5A00" w14:textId="77777777" w:rsidR="004E6685" w:rsidRDefault="004E6685" w:rsidP="004E6685">
      <w:pPr>
        <w:autoSpaceDE w:val="0"/>
        <w:autoSpaceDN w:val="0"/>
        <w:adjustRightInd w:val="0"/>
        <w:spacing w:after="120"/>
        <w:jc w:val="both"/>
        <w:rPr>
          <w:rFonts w:ascii="Arial" w:hAnsi="Arial" w:cs="Arial"/>
          <w:sz w:val="22"/>
          <w:szCs w:val="22"/>
        </w:rPr>
      </w:pPr>
      <w:r w:rsidRPr="00C06112">
        <w:rPr>
          <w:rFonts w:ascii="Arial" w:hAnsi="Arial" w:cs="Arial"/>
          <w:sz w:val="22"/>
          <w:szCs w:val="22"/>
        </w:rPr>
        <w:t xml:space="preserve">Nel 2018 si attesta al 10,4% la quota di famiglie italiane che lamentano irregolarità nel servizio di erogazione dell’acqua nelle loro abitazioni. Tale valore, stabile rispetto al 2017, </w:t>
      </w:r>
      <w:r w:rsidRPr="00655E94">
        <w:rPr>
          <w:rFonts w:ascii="Arial" w:hAnsi="Arial" w:cs="Arial"/>
          <w:sz w:val="22"/>
          <w:szCs w:val="22"/>
        </w:rPr>
        <w:t>è ancora distante dai picchi rilevati a partire dal 2002, soprattutto da quello del 2003</w:t>
      </w:r>
      <w:r w:rsidRPr="00C06112">
        <w:rPr>
          <w:rFonts w:ascii="Arial" w:hAnsi="Arial" w:cs="Arial"/>
          <w:sz w:val="22"/>
          <w:szCs w:val="22"/>
        </w:rPr>
        <w:t xml:space="preserve"> (17,0%)</w:t>
      </w:r>
      <w:r w:rsidRPr="003A4863">
        <w:rPr>
          <w:rFonts w:ascii="Arial" w:hAnsi="Arial" w:cs="Arial"/>
          <w:sz w:val="22"/>
          <w:szCs w:val="22"/>
        </w:rPr>
        <w:t>.</w:t>
      </w:r>
      <w:r w:rsidRPr="00C06112">
        <w:rPr>
          <w:rFonts w:ascii="Arial" w:hAnsi="Arial" w:cs="Arial"/>
          <w:sz w:val="22"/>
          <w:szCs w:val="22"/>
        </w:rPr>
        <w:t xml:space="preserve"> Il disservizio investe in m</w:t>
      </w:r>
      <w:r>
        <w:rPr>
          <w:rFonts w:ascii="Arial" w:hAnsi="Arial" w:cs="Arial"/>
          <w:sz w:val="22"/>
          <w:szCs w:val="22"/>
        </w:rPr>
        <w:t>isura</w:t>
      </w:r>
      <w:r w:rsidRPr="00C06112">
        <w:rPr>
          <w:rFonts w:ascii="Arial" w:hAnsi="Arial" w:cs="Arial"/>
          <w:sz w:val="22"/>
          <w:szCs w:val="22"/>
        </w:rPr>
        <w:t xml:space="preserve"> divers</w:t>
      </w:r>
      <w:r>
        <w:rPr>
          <w:rFonts w:ascii="Arial" w:hAnsi="Arial" w:cs="Arial"/>
          <w:sz w:val="22"/>
          <w:szCs w:val="22"/>
        </w:rPr>
        <w:t>a</w:t>
      </w:r>
      <w:r w:rsidRPr="00C06112">
        <w:rPr>
          <w:rFonts w:ascii="Arial" w:hAnsi="Arial" w:cs="Arial"/>
          <w:sz w:val="22"/>
          <w:szCs w:val="22"/>
        </w:rPr>
        <w:t xml:space="preserve"> tutte le regioni e interessa quasi 2 milioni 700 mila famiglie</w:t>
      </w:r>
      <w:r>
        <w:rPr>
          <w:rFonts w:ascii="Arial" w:hAnsi="Arial" w:cs="Arial"/>
          <w:sz w:val="22"/>
          <w:szCs w:val="22"/>
        </w:rPr>
        <w:t>. D</w:t>
      </w:r>
      <w:r w:rsidRPr="00C06112">
        <w:rPr>
          <w:rFonts w:ascii="Arial" w:hAnsi="Arial" w:cs="Arial"/>
          <w:sz w:val="22"/>
          <w:szCs w:val="22"/>
        </w:rPr>
        <w:t xml:space="preserve">i queste, poco meno di 1 milione 800 mila, pari al 65,4%, vive nelle regioni del </w:t>
      </w:r>
      <w:r w:rsidRPr="00AC3EC1">
        <w:rPr>
          <w:rFonts w:ascii="Arial" w:hAnsi="Arial" w:cs="Arial"/>
          <w:sz w:val="22"/>
          <w:szCs w:val="22"/>
        </w:rPr>
        <w:t>Mezzogiorno (Figura 2).</w:t>
      </w:r>
    </w:p>
    <w:p w14:paraId="0248A63F" w14:textId="5A4C734C" w:rsidR="004E6685" w:rsidRDefault="004E6685" w:rsidP="004E6685">
      <w:pPr>
        <w:autoSpaceDE w:val="0"/>
        <w:autoSpaceDN w:val="0"/>
        <w:adjustRightInd w:val="0"/>
        <w:spacing w:after="120"/>
        <w:jc w:val="both"/>
        <w:rPr>
          <w:rFonts w:ascii="Arial" w:hAnsi="Arial" w:cs="Arial"/>
          <w:sz w:val="22"/>
          <w:szCs w:val="22"/>
        </w:rPr>
      </w:pPr>
      <w:r w:rsidRPr="00AE19E8">
        <w:rPr>
          <w:rFonts w:ascii="Arial" w:hAnsi="Arial" w:cs="Arial"/>
          <w:sz w:val="22"/>
          <w:szCs w:val="22"/>
        </w:rPr>
        <w:t xml:space="preserve">La regione più </w:t>
      </w:r>
      <w:r>
        <w:rPr>
          <w:rFonts w:ascii="Arial" w:hAnsi="Arial" w:cs="Arial"/>
          <w:sz w:val="22"/>
          <w:szCs w:val="22"/>
        </w:rPr>
        <w:t>disagiata</w:t>
      </w:r>
      <w:r w:rsidRPr="00AE19E8">
        <w:rPr>
          <w:rFonts w:ascii="Arial" w:hAnsi="Arial" w:cs="Arial"/>
          <w:sz w:val="22"/>
          <w:szCs w:val="22"/>
        </w:rPr>
        <w:t xml:space="preserve"> è la Calabria, dove il 39,6% delle famiglie lamenta questa inefficienza. Grave anche la situazione in Sicilia (29,3%)</w:t>
      </w:r>
      <w:r>
        <w:rPr>
          <w:rFonts w:ascii="Arial" w:hAnsi="Arial" w:cs="Arial"/>
          <w:sz w:val="22"/>
          <w:szCs w:val="22"/>
        </w:rPr>
        <w:t>, ma i</w:t>
      </w:r>
      <w:r w:rsidRPr="00C06112">
        <w:rPr>
          <w:rFonts w:ascii="Arial" w:hAnsi="Arial" w:cs="Arial"/>
          <w:sz w:val="22"/>
          <w:szCs w:val="22"/>
        </w:rPr>
        <w:t>n sensibile miglioramento rispetto all’anno precedente. Viceversa,</w:t>
      </w:r>
      <w:r>
        <w:rPr>
          <w:rFonts w:ascii="Arial" w:hAnsi="Arial" w:cs="Arial"/>
          <w:sz w:val="22"/>
          <w:szCs w:val="22"/>
        </w:rPr>
        <w:t xml:space="preserve"> quote esigue si registrano</w:t>
      </w:r>
      <w:r w:rsidRPr="00C06112">
        <w:rPr>
          <w:rFonts w:ascii="Arial" w:hAnsi="Arial" w:cs="Arial"/>
          <w:sz w:val="22"/>
          <w:szCs w:val="22"/>
        </w:rPr>
        <w:t xml:space="preserve"> </w:t>
      </w:r>
      <w:r>
        <w:rPr>
          <w:rFonts w:ascii="Arial" w:hAnsi="Arial" w:cs="Arial"/>
          <w:sz w:val="22"/>
          <w:szCs w:val="22"/>
        </w:rPr>
        <w:t>al</w:t>
      </w:r>
      <w:r w:rsidRPr="00C06112">
        <w:rPr>
          <w:rFonts w:ascii="Arial" w:hAnsi="Arial" w:cs="Arial"/>
          <w:sz w:val="22"/>
          <w:szCs w:val="22"/>
        </w:rPr>
        <w:t xml:space="preserve"> Nord-ovest e Nord-est</w:t>
      </w:r>
      <w:r>
        <w:rPr>
          <w:rFonts w:ascii="Arial" w:hAnsi="Arial" w:cs="Arial"/>
          <w:sz w:val="22"/>
          <w:szCs w:val="22"/>
        </w:rPr>
        <w:t xml:space="preserve"> (</w:t>
      </w:r>
      <w:r w:rsidRPr="00C06112">
        <w:rPr>
          <w:rFonts w:ascii="Arial" w:hAnsi="Arial" w:cs="Arial"/>
          <w:sz w:val="22"/>
          <w:szCs w:val="22"/>
        </w:rPr>
        <w:t>3,3% e 2,5%)</w:t>
      </w:r>
      <w:r>
        <w:rPr>
          <w:rFonts w:ascii="Arial" w:hAnsi="Arial" w:cs="Arial"/>
          <w:sz w:val="22"/>
          <w:szCs w:val="22"/>
        </w:rPr>
        <w:t xml:space="preserve"> mentre al Centro s</w:t>
      </w:r>
      <w:r w:rsidRPr="00C06112">
        <w:rPr>
          <w:rFonts w:ascii="Arial" w:hAnsi="Arial" w:cs="Arial"/>
          <w:sz w:val="22"/>
          <w:szCs w:val="22"/>
        </w:rPr>
        <w:t>oltanto una famiglia su dieci dichiara che il servizio di erogazione è irregolare.</w:t>
      </w:r>
    </w:p>
    <w:p w14:paraId="2622160B" w14:textId="5DDC2E03" w:rsidR="00033419" w:rsidRPr="00040B97" w:rsidRDefault="005D2829" w:rsidP="00033419">
      <w:pPr>
        <w:autoSpaceDE w:val="0"/>
        <w:autoSpaceDN w:val="0"/>
        <w:adjustRightInd w:val="0"/>
        <w:spacing w:after="120"/>
        <w:jc w:val="both"/>
        <w:rPr>
          <w:rFonts w:ascii="Arial" w:hAnsi="Arial" w:cs="Arial"/>
          <w:sz w:val="22"/>
          <w:szCs w:val="22"/>
        </w:rPr>
      </w:pPr>
      <w:r w:rsidRPr="00655E94">
        <w:rPr>
          <w:rFonts w:ascii="Arial" w:hAnsi="Arial" w:cs="Arial"/>
          <w:sz w:val="22"/>
          <w:szCs w:val="22"/>
        </w:rPr>
        <w:t>Il 39,2% delle famiglie che lamentano irregolarità nell’erogazione dell’acqua dichiara che il problema si presenta durante tutto l’anno</w:t>
      </w:r>
      <w:r w:rsidR="00655E94" w:rsidRPr="00655E94">
        <w:rPr>
          <w:rFonts w:ascii="Arial" w:hAnsi="Arial" w:cs="Arial"/>
          <w:sz w:val="22"/>
          <w:szCs w:val="22"/>
        </w:rPr>
        <w:t>.</w:t>
      </w:r>
      <w:r w:rsidRPr="00655E94" w:rsidDel="005D2829">
        <w:rPr>
          <w:rFonts w:ascii="Arial" w:hAnsi="Arial" w:cs="Arial"/>
          <w:sz w:val="22"/>
          <w:szCs w:val="22"/>
        </w:rPr>
        <w:t xml:space="preserve"> </w:t>
      </w:r>
      <w:r w:rsidR="00033419" w:rsidRPr="00655E94">
        <w:rPr>
          <w:rFonts w:ascii="Arial" w:hAnsi="Arial" w:cs="Arial"/>
          <w:sz w:val="22"/>
          <w:szCs w:val="22"/>
        </w:rPr>
        <w:t>Per il</w:t>
      </w:r>
      <w:r w:rsidR="00033419" w:rsidRPr="00040B97">
        <w:rPr>
          <w:rFonts w:ascii="Arial" w:hAnsi="Arial" w:cs="Arial"/>
          <w:sz w:val="22"/>
          <w:szCs w:val="22"/>
        </w:rPr>
        <w:t xml:space="preserve"> 33,8% si verifica solo nel periodo estivo mentre per il 22,0% l’irregolarità è un problema sporadico.</w:t>
      </w:r>
    </w:p>
    <w:p w14:paraId="04B465A3" w14:textId="061E59FF" w:rsidR="009128E9" w:rsidRPr="00A50A1E" w:rsidRDefault="00033419" w:rsidP="00033419">
      <w:pPr>
        <w:autoSpaceDE w:val="0"/>
        <w:autoSpaceDN w:val="0"/>
        <w:adjustRightInd w:val="0"/>
        <w:spacing w:after="120"/>
        <w:jc w:val="both"/>
        <w:rPr>
          <w:rFonts w:ascii="Arial" w:hAnsi="Arial" w:cs="Arial"/>
          <w:sz w:val="22"/>
          <w:szCs w:val="22"/>
        </w:rPr>
      </w:pPr>
      <w:r w:rsidRPr="00A50A1E">
        <w:rPr>
          <w:rFonts w:ascii="Arial" w:hAnsi="Arial" w:cs="Arial"/>
          <w:sz w:val="22"/>
          <w:szCs w:val="22"/>
        </w:rPr>
        <w:t>Rispetto al</w:t>
      </w:r>
      <w:r w:rsidR="00443BBC" w:rsidRPr="00A50A1E">
        <w:rPr>
          <w:rFonts w:ascii="Arial" w:hAnsi="Arial" w:cs="Arial"/>
          <w:sz w:val="22"/>
          <w:szCs w:val="22"/>
        </w:rPr>
        <w:t>la spesa</w:t>
      </w:r>
      <w:r w:rsidRPr="00A50A1E">
        <w:rPr>
          <w:rFonts w:ascii="Arial" w:hAnsi="Arial" w:cs="Arial"/>
          <w:sz w:val="22"/>
          <w:szCs w:val="22"/>
        </w:rPr>
        <w:t xml:space="preserve"> sostenut</w:t>
      </w:r>
      <w:r w:rsidR="00443BBC" w:rsidRPr="00A50A1E">
        <w:rPr>
          <w:rFonts w:ascii="Arial" w:hAnsi="Arial" w:cs="Arial"/>
          <w:sz w:val="22"/>
          <w:szCs w:val="22"/>
        </w:rPr>
        <w:t>a</w:t>
      </w:r>
      <w:r w:rsidRPr="00A50A1E">
        <w:rPr>
          <w:rFonts w:ascii="Arial" w:hAnsi="Arial" w:cs="Arial"/>
          <w:sz w:val="22"/>
          <w:szCs w:val="22"/>
        </w:rPr>
        <w:t xml:space="preserve"> per l’erogazione dell’acqua, il 49,0% delle famiglie ritiene che </w:t>
      </w:r>
      <w:r w:rsidR="00443BBC" w:rsidRPr="00A50A1E">
        <w:rPr>
          <w:rFonts w:ascii="Arial" w:hAnsi="Arial" w:cs="Arial"/>
          <w:sz w:val="22"/>
          <w:szCs w:val="22"/>
        </w:rPr>
        <w:t xml:space="preserve">il costo del servizio </w:t>
      </w:r>
      <w:r w:rsidRPr="00A50A1E">
        <w:rPr>
          <w:rFonts w:ascii="Arial" w:hAnsi="Arial" w:cs="Arial"/>
          <w:sz w:val="22"/>
          <w:szCs w:val="22"/>
        </w:rPr>
        <w:t>sia adeguato, il 43,1% lo giudica elevato</w:t>
      </w:r>
      <w:r w:rsidR="00734464" w:rsidRPr="00A50A1E">
        <w:rPr>
          <w:rFonts w:ascii="Arial" w:hAnsi="Arial" w:cs="Arial"/>
          <w:sz w:val="22"/>
          <w:szCs w:val="22"/>
        </w:rPr>
        <w:t>.</w:t>
      </w:r>
      <w:r w:rsidR="00406C98" w:rsidRPr="00A50A1E">
        <w:rPr>
          <w:rFonts w:ascii="Arial" w:hAnsi="Arial" w:cs="Arial"/>
          <w:sz w:val="22"/>
          <w:szCs w:val="22"/>
        </w:rPr>
        <w:t xml:space="preserve"> In quest’ultimo caso la percentuale raggiunge il 61,2% ne</w:t>
      </w:r>
      <w:r w:rsidRPr="00A50A1E">
        <w:rPr>
          <w:rFonts w:ascii="Arial" w:hAnsi="Arial" w:cs="Arial"/>
          <w:sz w:val="22"/>
          <w:szCs w:val="22"/>
        </w:rPr>
        <w:t xml:space="preserve">lle Isole, </w:t>
      </w:r>
      <w:r w:rsidR="00406C98" w:rsidRPr="00A50A1E">
        <w:rPr>
          <w:rFonts w:ascii="Arial" w:hAnsi="Arial" w:cs="Arial"/>
          <w:sz w:val="22"/>
          <w:szCs w:val="22"/>
        </w:rPr>
        <w:t>è intorno al 50% al Centro e al Sud</w:t>
      </w:r>
      <w:r w:rsidR="00443BBC" w:rsidRPr="00A50A1E">
        <w:rPr>
          <w:rFonts w:ascii="Arial" w:hAnsi="Arial" w:cs="Arial"/>
          <w:sz w:val="22"/>
          <w:szCs w:val="22"/>
        </w:rPr>
        <w:t xml:space="preserve"> e</w:t>
      </w:r>
      <w:r w:rsidR="00406C98" w:rsidRPr="00A50A1E">
        <w:rPr>
          <w:rFonts w:ascii="Arial" w:hAnsi="Arial" w:cs="Arial"/>
          <w:sz w:val="22"/>
          <w:szCs w:val="22"/>
        </w:rPr>
        <w:t xml:space="preserve"> si attesta su livelli molto più bassi</w:t>
      </w:r>
      <w:r w:rsidRPr="00A50A1E">
        <w:rPr>
          <w:rFonts w:ascii="Arial" w:hAnsi="Arial" w:cs="Arial"/>
          <w:sz w:val="22"/>
          <w:szCs w:val="22"/>
        </w:rPr>
        <w:t xml:space="preserve"> nel Nord-ovest e nel Nord-est (33,4% e 34,6%, rispettivamente).</w:t>
      </w:r>
    </w:p>
    <w:p w14:paraId="17ABD630" w14:textId="77777777" w:rsidR="00406C98" w:rsidRPr="00132A04" w:rsidRDefault="00406C98" w:rsidP="00033419">
      <w:pPr>
        <w:autoSpaceDE w:val="0"/>
        <w:autoSpaceDN w:val="0"/>
        <w:adjustRightInd w:val="0"/>
        <w:spacing w:after="120"/>
        <w:jc w:val="both"/>
        <w:rPr>
          <w:rFonts w:ascii="Arial" w:hAnsi="Arial" w:cs="Arial"/>
          <w:b/>
          <w:color w:val="1F497D" w:themeColor="text2"/>
          <w:sz w:val="22"/>
          <w:szCs w:val="22"/>
        </w:rPr>
      </w:pPr>
    </w:p>
    <w:p w14:paraId="3644BD37" w14:textId="77777777" w:rsidR="008657C3" w:rsidRPr="00427FDB" w:rsidRDefault="00C75078" w:rsidP="00427FDB">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 xml:space="preserve">Ancora </w:t>
      </w:r>
      <w:r w:rsidR="00936F28">
        <w:rPr>
          <w:rFonts w:ascii="Arial" w:hAnsi="Arial" w:cs="Arial"/>
          <w:b/>
          <w:color w:val="1F497D" w:themeColor="text2"/>
          <w:sz w:val="26"/>
          <w:szCs w:val="26"/>
        </w:rPr>
        <w:t>p</w:t>
      </w:r>
      <w:r w:rsidR="00E833D9" w:rsidRPr="00040B97">
        <w:rPr>
          <w:rFonts w:ascii="Arial" w:hAnsi="Arial" w:cs="Arial"/>
          <w:b/>
          <w:color w:val="1F497D" w:themeColor="text2"/>
          <w:sz w:val="26"/>
          <w:szCs w:val="26"/>
        </w:rPr>
        <w:t>oca la f</w:t>
      </w:r>
      <w:r w:rsidR="008657C3" w:rsidRPr="00427FDB">
        <w:rPr>
          <w:rFonts w:ascii="Arial" w:hAnsi="Arial" w:cs="Arial"/>
          <w:b/>
          <w:color w:val="1F497D" w:themeColor="text2"/>
          <w:sz w:val="26"/>
          <w:szCs w:val="26"/>
        </w:rPr>
        <w:t>iducia nel</w:t>
      </w:r>
      <w:r w:rsidR="00040B97" w:rsidRPr="00040B97">
        <w:rPr>
          <w:rFonts w:ascii="Arial" w:hAnsi="Arial" w:cs="Arial"/>
          <w:b/>
          <w:color w:val="1F497D" w:themeColor="text2"/>
          <w:sz w:val="26"/>
          <w:szCs w:val="26"/>
        </w:rPr>
        <w:t xml:space="preserve"> bere </w:t>
      </w:r>
      <w:r w:rsidR="008657C3" w:rsidRPr="00427FDB">
        <w:rPr>
          <w:rFonts w:ascii="Arial" w:hAnsi="Arial" w:cs="Arial"/>
          <w:b/>
          <w:color w:val="1F497D" w:themeColor="text2"/>
          <w:sz w:val="26"/>
          <w:szCs w:val="26"/>
        </w:rPr>
        <w:t>acqua di rubinetto</w:t>
      </w:r>
    </w:p>
    <w:p w14:paraId="061BAF4A" w14:textId="77777777" w:rsidR="00033419" w:rsidRDefault="00033419" w:rsidP="00033419">
      <w:pPr>
        <w:autoSpaceDE w:val="0"/>
        <w:autoSpaceDN w:val="0"/>
        <w:adjustRightInd w:val="0"/>
        <w:spacing w:after="120"/>
        <w:jc w:val="both"/>
        <w:rPr>
          <w:rFonts w:ascii="Arial" w:hAnsi="Arial" w:cs="Arial"/>
          <w:sz w:val="22"/>
          <w:szCs w:val="22"/>
        </w:rPr>
      </w:pPr>
      <w:r w:rsidRPr="00040B97">
        <w:rPr>
          <w:rFonts w:ascii="Arial" w:hAnsi="Arial" w:cs="Arial"/>
          <w:sz w:val="22"/>
          <w:szCs w:val="22"/>
        </w:rPr>
        <w:t xml:space="preserve">Le famiglie che non si fidano a bere l’acqua di rubinetto rappresentano ancora una quota considerevole, nonostante </w:t>
      </w:r>
      <w:r w:rsidR="00CA5394">
        <w:rPr>
          <w:rFonts w:ascii="Arial" w:hAnsi="Arial" w:cs="Arial"/>
          <w:sz w:val="22"/>
          <w:szCs w:val="22"/>
        </w:rPr>
        <w:t xml:space="preserve">il grado di fiducia mostri </w:t>
      </w:r>
      <w:r w:rsidRPr="00040B97">
        <w:rPr>
          <w:rFonts w:ascii="Arial" w:hAnsi="Arial" w:cs="Arial"/>
          <w:sz w:val="22"/>
          <w:szCs w:val="22"/>
        </w:rPr>
        <w:t>un miglioramento</w:t>
      </w:r>
      <w:r w:rsidR="00E833D9" w:rsidRPr="00040B97">
        <w:rPr>
          <w:rFonts w:ascii="Arial" w:hAnsi="Arial" w:cs="Arial"/>
          <w:sz w:val="22"/>
          <w:szCs w:val="22"/>
        </w:rPr>
        <w:t xml:space="preserve"> progressivo ma</w:t>
      </w:r>
      <w:r w:rsidRPr="00040B97">
        <w:rPr>
          <w:rFonts w:ascii="Arial" w:hAnsi="Arial" w:cs="Arial"/>
          <w:sz w:val="22"/>
          <w:szCs w:val="22"/>
        </w:rPr>
        <w:t xml:space="preserve"> altalenante. La percentuale passa dal 40,1% del 2002 al 29,0% del 2018, per un numero complessivo di famiglie pari a 7 milioni 500 mila. </w:t>
      </w:r>
      <w:r w:rsidR="00406C98">
        <w:rPr>
          <w:rFonts w:ascii="Arial" w:hAnsi="Arial" w:cs="Arial"/>
          <w:sz w:val="22"/>
          <w:szCs w:val="22"/>
        </w:rPr>
        <w:t xml:space="preserve">Notevoli le differenze territoriali: </w:t>
      </w:r>
      <w:r w:rsidR="009B1674">
        <w:rPr>
          <w:rFonts w:ascii="Arial" w:hAnsi="Arial" w:cs="Arial"/>
          <w:sz w:val="22"/>
          <w:szCs w:val="22"/>
        </w:rPr>
        <w:t xml:space="preserve">si passa </w:t>
      </w:r>
      <w:r w:rsidRPr="00040B97">
        <w:rPr>
          <w:rFonts w:ascii="Arial" w:hAnsi="Arial" w:cs="Arial"/>
          <w:sz w:val="22"/>
          <w:szCs w:val="22"/>
        </w:rPr>
        <w:t>dal 17,8% del Nord-est al 52,0% delle Isole, con la percentuale più elevata in Sicilia (53,3%)</w:t>
      </w:r>
      <w:r w:rsidR="009B1674">
        <w:rPr>
          <w:rFonts w:ascii="Arial" w:hAnsi="Arial" w:cs="Arial"/>
          <w:sz w:val="22"/>
          <w:szCs w:val="22"/>
        </w:rPr>
        <w:t>, seguita da</w:t>
      </w:r>
      <w:r w:rsidRPr="00040B97">
        <w:rPr>
          <w:rFonts w:ascii="Arial" w:hAnsi="Arial" w:cs="Arial"/>
          <w:sz w:val="22"/>
          <w:szCs w:val="22"/>
        </w:rPr>
        <w:t xml:space="preserve"> Sardegna (48,5%) e Calabria (45,2%).</w:t>
      </w:r>
    </w:p>
    <w:p w14:paraId="6F206838" w14:textId="77777777" w:rsidR="009128E9" w:rsidRPr="00132A04" w:rsidRDefault="009128E9" w:rsidP="00427FDB">
      <w:pPr>
        <w:autoSpaceDE w:val="0"/>
        <w:autoSpaceDN w:val="0"/>
        <w:adjustRightInd w:val="0"/>
        <w:spacing w:after="120"/>
        <w:jc w:val="both"/>
        <w:rPr>
          <w:rFonts w:ascii="Arial" w:hAnsi="Arial" w:cs="Arial"/>
          <w:b/>
          <w:color w:val="1F497D" w:themeColor="text2"/>
          <w:sz w:val="22"/>
          <w:szCs w:val="22"/>
        </w:rPr>
      </w:pPr>
    </w:p>
    <w:p w14:paraId="494B3157" w14:textId="77777777" w:rsidR="008657C3" w:rsidRPr="00427FDB" w:rsidRDefault="0023528D" w:rsidP="008657C3">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Umbria in testa per il consumo di acqua minerale</w:t>
      </w:r>
    </w:p>
    <w:p w14:paraId="64B0C054" w14:textId="41F0014D" w:rsidR="00033419" w:rsidRDefault="009B1674" w:rsidP="00033419">
      <w:pPr>
        <w:autoSpaceDE w:val="0"/>
        <w:autoSpaceDN w:val="0"/>
        <w:adjustRightInd w:val="0"/>
        <w:spacing w:after="120"/>
        <w:jc w:val="both"/>
        <w:rPr>
          <w:rFonts w:ascii="Arial" w:hAnsi="Arial" w:cs="Arial"/>
          <w:sz w:val="22"/>
          <w:szCs w:val="22"/>
        </w:rPr>
      </w:pPr>
      <w:r>
        <w:rPr>
          <w:rFonts w:ascii="Arial" w:hAnsi="Arial" w:cs="Arial"/>
          <w:sz w:val="22"/>
          <w:szCs w:val="22"/>
        </w:rPr>
        <w:t xml:space="preserve">Sono il 63% le famiglie </w:t>
      </w:r>
      <w:r w:rsidR="00033419" w:rsidRPr="00057A64">
        <w:rPr>
          <w:rFonts w:ascii="Arial" w:hAnsi="Arial" w:cs="Arial"/>
          <w:sz w:val="22"/>
          <w:szCs w:val="22"/>
        </w:rPr>
        <w:t xml:space="preserve">in cui almeno un componente beve quotidianamente oltre un litro di acqua minerale. </w:t>
      </w:r>
      <w:r>
        <w:rPr>
          <w:rFonts w:ascii="Arial" w:hAnsi="Arial" w:cs="Arial"/>
          <w:sz w:val="22"/>
          <w:szCs w:val="22"/>
        </w:rPr>
        <w:t xml:space="preserve">Il consumo più elevato si registra nelle </w:t>
      </w:r>
      <w:r w:rsidR="00033419" w:rsidRPr="00057A64">
        <w:rPr>
          <w:rFonts w:ascii="Arial" w:hAnsi="Arial" w:cs="Arial"/>
          <w:sz w:val="22"/>
          <w:szCs w:val="22"/>
        </w:rPr>
        <w:t xml:space="preserve">Isole (69,0%), </w:t>
      </w:r>
      <w:r>
        <w:rPr>
          <w:rFonts w:ascii="Arial" w:hAnsi="Arial" w:cs="Arial"/>
          <w:sz w:val="22"/>
          <w:szCs w:val="22"/>
        </w:rPr>
        <w:t>quello più basso</w:t>
      </w:r>
      <w:r w:rsidR="00033419" w:rsidRPr="00057A64">
        <w:rPr>
          <w:rFonts w:ascii="Arial" w:hAnsi="Arial" w:cs="Arial"/>
          <w:sz w:val="22"/>
          <w:szCs w:val="22"/>
        </w:rPr>
        <w:t xml:space="preserve"> </w:t>
      </w:r>
      <w:r>
        <w:rPr>
          <w:rFonts w:ascii="Arial" w:hAnsi="Arial" w:cs="Arial"/>
          <w:sz w:val="22"/>
          <w:szCs w:val="22"/>
        </w:rPr>
        <w:t>a</w:t>
      </w:r>
      <w:r w:rsidR="00033419" w:rsidRPr="00057A64">
        <w:rPr>
          <w:rFonts w:ascii="Arial" w:hAnsi="Arial" w:cs="Arial"/>
          <w:sz w:val="22"/>
          <w:szCs w:val="22"/>
        </w:rPr>
        <w:t xml:space="preserve">l Sud (55,8%). Tra le regioni </w:t>
      </w:r>
      <w:r>
        <w:rPr>
          <w:rFonts w:ascii="Arial" w:hAnsi="Arial" w:cs="Arial"/>
          <w:sz w:val="22"/>
          <w:szCs w:val="22"/>
        </w:rPr>
        <w:t xml:space="preserve">è </w:t>
      </w:r>
      <w:r w:rsidR="00033419" w:rsidRPr="00057A64">
        <w:rPr>
          <w:rFonts w:ascii="Arial" w:hAnsi="Arial" w:cs="Arial"/>
          <w:sz w:val="22"/>
          <w:szCs w:val="22"/>
        </w:rPr>
        <w:t xml:space="preserve">l’Umbria </w:t>
      </w:r>
      <w:r>
        <w:rPr>
          <w:rFonts w:ascii="Arial" w:hAnsi="Arial" w:cs="Arial"/>
          <w:sz w:val="22"/>
          <w:szCs w:val="22"/>
        </w:rPr>
        <w:t xml:space="preserve">a guidare la graduatoria </w:t>
      </w:r>
      <w:r w:rsidR="00033419" w:rsidRPr="00057A64">
        <w:rPr>
          <w:rFonts w:ascii="Arial" w:hAnsi="Arial" w:cs="Arial"/>
          <w:sz w:val="22"/>
          <w:szCs w:val="22"/>
        </w:rPr>
        <w:t>(71,0%)</w:t>
      </w:r>
      <w:r w:rsidR="00AD53D2">
        <w:rPr>
          <w:rFonts w:ascii="Arial" w:hAnsi="Arial" w:cs="Arial"/>
          <w:sz w:val="22"/>
          <w:szCs w:val="22"/>
        </w:rPr>
        <w:t>,</w:t>
      </w:r>
      <w:r>
        <w:rPr>
          <w:rFonts w:ascii="Arial" w:hAnsi="Arial" w:cs="Arial"/>
          <w:sz w:val="22"/>
          <w:szCs w:val="22"/>
        </w:rPr>
        <w:t xml:space="preserve"> per il </w:t>
      </w:r>
      <w:r w:rsidR="00033419" w:rsidRPr="00057A64">
        <w:rPr>
          <w:rFonts w:ascii="Arial" w:hAnsi="Arial" w:cs="Arial"/>
          <w:sz w:val="22"/>
          <w:szCs w:val="22"/>
        </w:rPr>
        <w:t>Trentino-Alto Adige si registra il valore più basso (43,7%).</w:t>
      </w:r>
    </w:p>
    <w:p w14:paraId="4DF56A99" w14:textId="449E1DD4" w:rsidR="00476028" w:rsidRPr="00EE3FBD" w:rsidRDefault="00381448" w:rsidP="00381448">
      <w:pPr>
        <w:tabs>
          <w:tab w:val="left" w:pos="900"/>
        </w:tabs>
        <w:spacing w:after="120"/>
        <w:jc w:val="both"/>
        <w:rPr>
          <w:rFonts w:ascii="Arial" w:hAnsi="Arial" w:cs="Arial"/>
          <w:sz w:val="22"/>
          <w:szCs w:val="22"/>
        </w:rPr>
      </w:pPr>
      <w:r>
        <w:rPr>
          <w:rFonts w:ascii="Arial" w:hAnsi="Arial" w:cs="Arial"/>
          <w:sz w:val="22"/>
          <w:szCs w:val="22"/>
        </w:rPr>
        <w:t>N</w:t>
      </w:r>
      <w:r w:rsidRPr="00EE3FBD">
        <w:rPr>
          <w:rFonts w:ascii="Arial" w:hAnsi="Arial" w:cs="Arial"/>
          <w:sz w:val="22"/>
          <w:szCs w:val="22"/>
        </w:rPr>
        <w:t>el 2017</w:t>
      </w:r>
      <w:r w:rsidR="00AD53D2">
        <w:rPr>
          <w:rFonts w:ascii="Arial" w:hAnsi="Arial" w:cs="Arial"/>
          <w:sz w:val="22"/>
          <w:szCs w:val="22"/>
        </w:rPr>
        <w:t>, c</w:t>
      </w:r>
      <w:r w:rsidRPr="00EE3FBD">
        <w:rPr>
          <w:rFonts w:ascii="Arial" w:hAnsi="Arial" w:cs="Arial"/>
          <w:sz w:val="22"/>
          <w:szCs w:val="22"/>
        </w:rPr>
        <w:t xml:space="preserve">onsiderando tutte le famiglie italiane, </w:t>
      </w:r>
      <w:r w:rsidRPr="00427FDB">
        <w:rPr>
          <w:rFonts w:ascii="Arial" w:hAnsi="Arial" w:cs="Arial"/>
          <w:sz w:val="22"/>
          <w:szCs w:val="22"/>
        </w:rPr>
        <w:t>la spesa media mensile</w:t>
      </w:r>
      <w:r w:rsidRPr="00EE3FBD">
        <w:rPr>
          <w:rFonts w:ascii="Arial" w:hAnsi="Arial" w:cs="Arial"/>
          <w:sz w:val="22"/>
          <w:szCs w:val="22"/>
        </w:rPr>
        <w:t xml:space="preserve"> calcolata </w:t>
      </w:r>
      <w:r w:rsidR="00AD53D2" w:rsidRPr="00EE3FBD">
        <w:rPr>
          <w:rFonts w:ascii="Arial" w:hAnsi="Arial" w:cs="Arial"/>
          <w:sz w:val="22"/>
          <w:szCs w:val="22"/>
        </w:rPr>
        <w:t xml:space="preserve">per il consumo di acqua minerale </w:t>
      </w:r>
      <w:r w:rsidRPr="00EE3FBD">
        <w:rPr>
          <w:rFonts w:ascii="Arial" w:hAnsi="Arial" w:cs="Arial"/>
          <w:sz w:val="22"/>
          <w:szCs w:val="22"/>
        </w:rPr>
        <w:t xml:space="preserve">è pari a 11,94 euro, </w:t>
      </w:r>
      <w:r w:rsidRPr="00427FDB">
        <w:rPr>
          <w:rFonts w:ascii="Arial" w:hAnsi="Arial" w:cs="Arial"/>
          <w:sz w:val="22"/>
          <w:szCs w:val="22"/>
        </w:rPr>
        <w:t>in aumento dell’11,1% rispetto al 2016.</w:t>
      </w:r>
    </w:p>
    <w:p w14:paraId="3AA84148" w14:textId="77777777" w:rsidR="00725F0B" w:rsidRDefault="00725F0B" w:rsidP="0034637D">
      <w:pPr>
        <w:spacing w:after="120"/>
        <w:rPr>
          <w:rFonts w:ascii="Arial" w:hAnsi="Arial" w:cs="Arial"/>
          <w:b/>
          <w:color w:val="1F497D" w:themeColor="text2"/>
          <w:sz w:val="18"/>
          <w:szCs w:val="22"/>
        </w:rPr>
      </w:pPr>
    </w:p>
    <w:p w14:paraId="23FE206F" w14:textId="77777777" w:rsidR="00530415" w:rsidRPr="00132A04" w:rsidRDefault="00530415" w:rsidP="0034637D">
      <w:pPr>
        <w:spacing w:after="120"/>
        <w:rPr>
          <w:rFonts w:ascii="Arial" w:hAnsi="Arial" w:cs="Arial"/>
          <w:b/>
          <w:color w:val="1F497D" w:themeColor="text2"/>
          <w:sz w:val="18"/>
          <w:szCs w:val="22"/>
        </w:rPr>
      </w:pPr>
    </w:p>
    <w:p w14:paraId="63DD41E4" w14:textId="3D176EAA" w:rsidR="005866C4" w:rsidRPr="00764BD5" w:rsidRDefault="001D4AA6" w:rsidP="003A7432">
      <w:pPr>
        <w:pStyle w:val="ATitoloTavolaFigura"/>
        <w:keepNext/>
        <w:spacing w:before="120" w:after="480"/>
        <w:ind w:left="0" w:firstLine="0"/>
        <w:rPr>
          <w:rFonts w:ascii="Arial Narrow" w:hAnsi="Arial Narrow"/>
          <w:b w:val="0"/>
          <w:iCs/>
          <w:noProof/>
          <w:color w:val="1F497D" w:themeColor="text2"/>
          <w:sz w:val="22"/>
          <w:szCs w:val="22"/>
        </w:rPr>
      </w:pPr>
      <w:r>
        <w:rPr>
          <w:rFonts w:ascii="Arial Narrow" w:hAnsi="Arial Narrow"/>
          <w:noProof/>
          <w:sz w:val="15"/>
          <w:szCs w:val="15"/>
        </w:rPr>
        <mc:AlternateContent>
          <mc:Choice Requires="wps">
            <w:drawing>
              <wp:anchor distT="0" distB="0" distL="114300" distR="114300" simplePos="0" relativeHeight="251656192" behindDoc="0" locked="0" layoutInCell="1" allowOverlap="1" wp14:anchorId="67763853" wp14:editId="37078777">
                <wp:simplePos x="0" y="0"/>
                <wp:positionH relativeFrom="column">
                  <wp:posOffset>-96520</wp:posOffset>
                </wp:positionH>
                <wp:positionV relativeFrom="paragraph">
                  <wp:posOffset>549275</wp:posOffset>
                </wp:positionV>
                <wp:extent cx="320040" cy="23876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8760"/>
                        </a:xfrm>
                        <a:prstGeom prst="rect">
                          <a:avLst/>
                        </a:prstGeom>
                        <a:noFill/>
                        <a:ln w="9525">
                          <a:noFill/>
                          <a:miter lim="800000"/>
                          <a:headEnd/>
                          <a:tailEnd/>
                        </a:ln>
                      </wps:spPr>
                      <wps:txbx>
                        <w:txbxContent>
                          <w:p w14:paraId="2D7C039F" w14:textId="77777777" w:rsidR="004367E2" w:rsidRPr="00427FDB" w:rsidRDefault="004367E2">
                            <w:pPr>
                              <w:rPr>
                                <w:rFonts w:ascii="Arial Narrow" w:hAnsi="Arial Narrow"/>
                                <w:sz w:val="18"/>
                                <w:szCs w:val="18"/>
                              </w:rPr>
                            </w:pPr>
                            <w:r w:rsidRPr="00427FDB">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6pt;margin-top:43.25pt;width:25.2pt;height:1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" filled="f" stroked="f">
                <v:textbox>
                  <w:txbxContent>
                    <w:p w14:paraId="2D7C039F" w14:textId="77777777" w:rsidR="004367E2" w:rsidRPr="00427FDB" w:rsidRDefault="004367E2">
                      <w:pPr>
                        <w:rPr>
                          <w:rFonts w:ascii="Arial Narrow" w:hAnsi="Arial Narrow"/>
                          <w:sz w:val="18"/>
                          <w:szCs w:val="18"/>
                        </w:rPr>
                      </w:pPr>
                      <w:r w:rsidRPr="00427FDB">
                        <w:rPr>
                          <w:rFonts w:ascii="Arial Narrow" w:hAnsi="Arial Narrow"/>
                          <w:sz w:val="18"/>
                          <w:szCs w:val="18"/>
                        </w:rPr>
                        <w:t>%</w:t>
                      </w:r>
                    </w:p>
                  </w:txbxContent>
                </v:textbox>
              </v:shape>
            </w:pict>
          </mc:Fallback>
        </mc:AlternateContent>
      </w:r>
      <w:r w:rsidR="00737D71" w:rsidRPr="00764BD5">
        <w:rPr>
          <w:rFonts w:ascii="Arial Black" w:hAnsi="Arial Black"/>
          <w:iCs/>
          <w:noProof/>
          <w:color w:val="1F497D" w:themeColor="text2"/>
          <w:sz w:val="22"/>
          <w:szCs w:val="22"/>
        </w:rPr>
        <w:t xml:space="preserve">FIGURA 2. </w:t>
      </w:r>
      <w:r w:rsidR="003865FA" w:rsidRPr="00427FDB">
        <w:rPr>
          <w:rFonts w:ascii="Arial Narrow" w:hAnsi="Arial Narrow"/>
          <w:iCs/>
          <w:noProof/>
          <w:color w:val="1F497D" w:themeColor="text2"/>
          <w:sz w:val="22"/>
          <w:szCs w:val="22"/>
        </w:rPr>
        <w:t>FAMIGLIE CHE LAMENTANO IRREGOLARITÀ NELL’EROGAZIONE DI ACQUA E CHE NON SI FIDANO A BERE L’ACQUA DEL RUBINETTO</w:t>
      </w:r>
      <w:r w:rsidR="00381448">
        <w:rPr>
          <w:rFonts w:ascii="Arial Narrow" w:hAnsi="Arial Narrow"/>
          <w:iCs/>
          <w:noProof/>
          <w:color w:val="1F497D" w:themeColor="text2"/>
          <w:sz w:val="22"/>
          <w:szCs w:val="22"/>
        </w:rPr>
        <w:t>, PER REGIONE</w:t>
      </w:r>
      <w:r w:rsidR="003865FA" w:rsidRPr="00427FDB">
        <w:rPr>
          <w:rFonts w:ascii="Arial Narrow" w:hAnsi="Arial Narrow"/>
          <w:iCs/>
          <w:noProof/>
          <w:color w:val="1F497D" w:themeColor="text2"/>
          <w:sz w:val="22"/>
          <w:szCs w:val="22"/>
        </w:rPr>
        <w:t xml:space="preserve">. </w:t>
      </w:r>
      <w:r w:rsidR="003865FA" w:rsidRPr="00427FDB">
        <w:rPr>
          <w:rFonts w:ascii="Arial Narrow" w:hAnsi="Arial Narrow"/>
          <w:b w:val="0"/>
          <w:iCs/>
          <w:noProof/>
          <w:color w:val="1F497D" w:themeColor="text2"/>
          <w:sz w:val="22"/>
          <w:szCs w:val="22"/>
        </w:rPr>
        <w:t xml:space="preserve">Anno 2018, </w:t>
      </w:r>
      <w:r w:rsidR="004915A3">
        <w:rPr>
          <w:rFonts w:ascii="Arial Narrow" w:hAnsi="Arial Narrow"/>
          <w:b w:val="0"/>
          <w:iCs/>
          <w:noProof/>
          <w:color w:val="1F497D" w:themeColor="text2"/>
          <w:sz w:val="22"/>
          <w:szCs w:val="22"/>
        </w:rPr>
        <w:t xml:space="preserve">valori </w:t>
      </w:r>
      <w:r w:rsidR="003865FA" w:rsidRPr="00427FDB">
        <w:rPr>
          <w:rFonts w:ascii="Arial Narrow" w:hAnsi="Arial Narrow"/>
          <w:b w:val="0"/>
          <w:iCs/>
          <w:noProof/>
          <w:color w:val="1F497D" w:themeColor="text2"/>
          <w:sz w:val="22"/>
          <w:szCs w:val="22"/>
        </w:rPr>
        <w:t>per 100 famiglie</w:t>
      </w:r>
    </w:p>
    <w:p w14:paraId="3A35C6C2" w14:textId="00EB1474" w:rsidR="009951A9" w:rsidRPr="00725F0B" w:rsidRDefault="009215A8" w:rsidP="00725F0B">
      <w:pPr>
        <w:pStyle w:val="ATitoloTavolaFigura"/>
        <w:spacing w:after="0"/>
        <w:ind w:left="0" w:firstLine="0"/>
        <w:jc w:val="left"/>
        <w:rPr>
          <w:rFonts w:ascii="Arial Narrow" w:hAnsi="Arial Narrow"/>
          <w:sz w:val="15"/>
          <w:szCs w:val="15"/>
        </w:rPr>
      </w:pPr>
      <w:r>
        <w:rPr>
          <w:rFonts w:ascii="Arial Narrow" w:hAnsi="Arial Narrow"/>
          <w:b w:val="0"/>
          <w:sz w:val="15"/>
          <w:szCs w:val="15"/>
        </w:rPr>
        <w:fldChar w:fldCharType="begin"/>
      </w:r>
      <w:r>
        <w:rPr>
          <w:rFonts w:ascii="Arial Narrow" w:hAnsi="Arial Narrow"/>
          <w:b w:val="0"/>
          <w:sz w:val="15"/>
          <w:szCs w:val="15"/>
        </w:rPr>
        <w:instrText xml:space="preserve"> LINK Excel.Sheet.12 "C:\\Users\\e.vaccaro\\Desktop\\Copia di grafici acqua.xlsx!irreg e rubinetto![Copia di grafici acqua.xlsx]irreg e rubinettoGrafico 3" "" \a \p </w:instrText>
      </w:r>
      <w:r>
        <w:rPr>
          <w:rFonts w:ascii="Arial Narrow" w:hAnsi="Arial Narrow"/>
          <w:b w:val="0"/>
          <w:sz w:val="15"/>
          <w:szCs w:val="15"/>
        </w:rPr>
        <w:fldChar w:fldCharType="separate"/>
      </w:r>
      <w:r w:rsidR="006E510C">
        <w:rPr>
          <w:rFonts w:ascii="Arial Narrow" w:hAnsi="Arial Narrow"/>
          <w:b w:val="0"/>
          <w:sz w:val="15"/>
          <w:szCs w:val="15"/>
        </w:rPr>
        <w:object w:dxaOrig="13207" w:dyaOrig="4515" w14:anchorId="695F0C7B">
          <v:shape id="_x0000_i1026" type="#_x0000_t75" style="width:494.8pt;height:169.35pt">
            <v:imagedata r:id="rId14" o:title=""/>
          </v:shape>
        </w:object>
      </w:r>
      <w:r>
        <w:rPr>
          <w:rFonts w:ascii="Arial Narrow" w:hAnsi="Arial Narrow"/>
          <w:b w:val="0"/>
          <w:sz w:val="15"/>
          <w:szCs w:val="15"/>
        </w:rPr>
        <w:fldChar w:fldCharType="end"/>
      </w:r>
      <w:r w:rsidR="005866C4" w:rsidRPr="00F704E3">
        <w:rPr>
          <w:rFonts w:ascii="Arial Narrow" w:hAnsi="Arial Narrow"/>
          <w:b w:val="0"/>
          <w:sz w:val="15"/>
          <w:szCs w:val="15"/>
        </w:rPr>
        <w:t>Fonte: Istat, Indagine Aspetti della vita quotidiana</w:t>
      </w:r>
      <w:r w:rsidR="00740B07">
        <w:rPr>
          <w:rFonts w:ascii="Arial Narrow" w:hAnsi="Arial Narrow"/>
          <w:b w:val="0"/>
          <w:sz w:val="15"/>
          <w:szCs w:val="15"/>
        </w:rPr>
        <w:t xml:space="preserve"> </w:t>
      </w:r>
    </w:p>
    <w:p w14:paraId="084ACFFD" w14:textId="77777777" w:rsidR="00FD3D4A" w:rsidRPr="00132A04" w:rsidRDefault="00FD3D4A" w:rsidP="004E6685">
      <w:pPr>
        <w:tabs>
          <w:tab w:val="left" w:pos="900"/>
        </w:tabs>
        <w:spacing w:after="120"/>
        <w:jc w:val="both"/>
        <w:rPr>
          <w:rFonts w:ascii="Arial" w:hAnsi="Arial" w:cs="Arial"/>
          <w:sz w:val="18"/>
          <w:szCs w:val="22"/>
        </w:rPr>
      </w:pPr>
    </w:p>
    <w:p w14:paraId="663036E0" w14:textId="279B0155" w:rsidR="004E6685" w:rsidRDefault="004E6685" w:rsidP="004E6685">
      <w:pPr>
        <w:tabs>
          <w:tab w:val="left" w:pos="900"/>
        </w:tabs>
        <w:spacing w:after="120"/>
        <w:jc w:val="both"/>
        <w:rPr>
          <w:rFonts w:ascii="Arial" w:hAnsi="Arial" w:cs="Arial"/>
          <w:sz w:val="22"/>
          <w:szCs w:val="22"/>
        </w:rPr>
      </w:pPr>
      <w:r w:rsidRPr="00EE3FBD">
        <w:rPr>
          <w:rFonts w:ascii="Arial" w:hAnsi="Arial" w:cs="Arial"/>
          <w:sz w:val="22"/>
          <w:szCs w:val="22"/>
        </w:rPr>
        <w:t xml:space="preserve">Le famiglie che nel 2017 hanno dichiarato di acquistare acqua minerale </w:t>
      </w:r>
      <w:r w:rsidRPr="00427FDB">
        <w:rPr>
          <w:rFonts w:ascii="Arial" w:hAnsi="Arial" w:cs="Arial"/>
          <w:sz w:val="22"/>
          <w:szCs w:val="22"/>
        </w:rPr>
        <w:t>nei 14 giorni di compilazione del Diario spese sono il 69,8% del compless</w:t>
      </w:r>
      <w:r w:rsidR="00132A04">
        <w:rPr>
          <w:rFonts w:ascii="Arial" w:hAnsi="Arial" w:cs="Arial"/>
          <w:sz w:val="22"/>
          <w:szCs w:val="22"/>
        </w:rPr>
        <w:t>o</w:t>
      </w:r>
      <w:r w:rsidRPr="00427FDB">
        <w:rPr>
          <w:rFonts w:ascii="Arial" w:hAnsi="Arial" w:cs="Arial"/>
          <w:sz w:val="22"/>
          <w:szCs w:val="22"/>
        </w:rPr>
        <w:t xml:space="preserve"> delle famiglie italiane</w:t>
      </w:r>
      <w:r>
        <w:rPr>
          <w:rFonts w:ascii="Arial" w:hAnsi="Arial" w:cs="Arial"/>
          <w:sz w:val="22"/>
          <w:szCs w:val="22"/>
        </w:rPr>
        <w:t>, con un</w:t>
      </w:r>
      <w:r w:rsidRPr="00EE3FBD">
        <w:rPr>
          <w:rFonts w:ascii="Arial" w:hAnsi="Arial" w:cs="Arial"/>
          <w:sz w:val="22"/>
          <w:szCs w:val="22"/>
        </w:rPr>
        <w:t xml:space="preserve">a spesa </w:t>
      </w:r>
      <w:r w:rsidRPr="00427FDB">
        <w:rPr>
          <w:rFonts w:ascii="Arial" w:hAnsi="Arial" w:cs="Arial"/>
          <w:sz w:val="22"/>
          <w:szCs w:val="22"/>
        </w:rPr>
        <w:t>pari a 7,88 euro</w:t>
      </w:r>
      <w:r w:rsidRPr="00EE3FBD">
        <w:rPr>
          <w:rFonts w:ascii="Arial" w:hAnsi="Arial" w:cs="Arial"/>
          <w:sz w:val="22"/>
          <w:szCs w:val="22"/>
        </w:rPr>
        <w:t>. Frequenze di acquisto superiori alla media si riscontrano in alcune regioni del Mezzogiorno. La quota di famiglie che effettuano la spesa supera il 75%</w:t>
      </w:r>
      <w:r w:rsidRPr="00427FDB">
        <w:rPr>
          <w:rFonts w:ascii="Arial" w:hAnsi="Arial" w:cs="Arial"/>
          <w:sz w:val="22"/>
          <w:szCs w:val="22"/>
        </w:rPr>
        <w:t xml:space="preserve"> nelle regioni:</w:t>
      </w:r>
      <w:r w:rsidRPr="00EE3FBD">
        <w:rPr>
          <w:rFonts w:ascii="Arial" w:hAnsi="Arial" w:cs="Arial"/>
          <w:sz w:val="22"/>
          <w:szCs w:val="22"/>
        </w:rPr>
        <w:t xml:space="preserve"> Sicilia (78,8%), Campania (78,0%), Abruzzo (76,9%) e Sardegna (76,3%). I valori più bassi si riscontrano in Trentino-Alto Adige (35,5%) e in Valle d’Aosta (50,2%)</w:t>
      </w:r>
      <w:r>
        <w:rPr>
          <w:rFonts w:ascii="Arial" w:hAnsi="Arial" w:cs="Arial"/>
          <w:sz w:val="22"/>
          <w:szCs w:val="22"/>
        </w:rPr>
        <w:t>.</w:t>
      </w:r>
    </w:p>
    <w:p w14:paraId="03F82BFF" w14:textId="77777777" w:rsidR="004E6685" w:rsidRPr="00132A04" w:rsidRDefault="004E6685" w:rsidP="004E6685">
      <w:pPr>
        <w:autoSpaceDE w:val="0"/>
        <w:autoSpaceDN w:val="0"/>
        <w:adjustRightInd w:val="0"/>
        <w:spacing w:after="120"/>
        <w:jc w:val="both"/>
        <w:rPr>
          <w:rFonts w:ascii="Arial" w:hAnsi="Arial" w:cs="Arial"/>
          <w:b/>
          <w:color w:val="1F497D" w:themeColor="text2"/>
          <w:sz w:val="14"/>
          <w:szCs w:val="20"/>
        </w:rPr>
      </w:pPr>
    </w:p>
    <w:p w14:paraId="4171A032" w14:textId="77777777" w:rsidR="004E6685" w:rsidRPr="00427FDB" w:rsidRDefault="004E6685" w:rsidP="004E6685">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In aumento la s</w:t>
      </w:r>
      <w:r w:rsidRPr="00427FDB">
        <w:rPr>
          <w:rFonts w:ascii="Arial" w:hAnsi="Arial" w:cs="Arial"/>
          <w:b/>
          <w:color w:val="1F497D" w:themeColor="text2"/>
          <w:sz w:val="26"/>
          <w:szCs w:val="26"/>
        </w:rPr>
        <w:t xml:space="preserve">pesa </w:t>
      </w:r>
      <w:r>
        <w:rPr>
          <w:rFonts w:ascii="Arial" w:hAnsi="Arial" w:cs="Arial"/>
          <w:b/>
          <w:color w:val="1F497D" w:themeColor="text2"/>
          <w:sz w:val="26"/>
          <w:szCs w:val="26"/>
        </w:rPr>
        <w:t xml:space="preserve">familiare </w:t>
      </w:r>
      <w:r w:rsidRPr="00427FDB">
        <w:rPr>
          <w:rFonts w:ascii="Arial" w:hAnsi="Arial" w:cs="Arial"/>
          <w:b/>
          <w:color w:val="1F497D" w:themeColor="text2"/>
          <w:sz w:val="26"/>
          <w:szCs w:val="26"/>
        </w:rPr>
        <w:t xml:space="preserve">per </w:t>
      </w:r>
      <w:r>
        <w:rPr>
          <w:rFonts w:ascii="Arial" w:hAnsi="Arial" w:cs="Arial"/>
          <w:b/>
          <w:color w:val="1F497D" w:themeColor="text2"/>
          <w:sz w:val="26"/>
          <w:szCs w:val="26"/>
        </w:rPr>
        <w:t>l’</w:t>
      </w:r>
      <w:r w:rsidRPr="00427FDB">
        <w:rPr>
          <w:rFonts w:ascii="Arial" w:hAnsi="Arial" w:cs="Arial"/>
          <w:b/>
          <w:color w:val="1F497D" w:themeColor="text2"/>
          <w:sz w:val="26"/>
          <w:szCs w:val="26"/>
        </w:rPr>
        <w:t>acqua</w:t>
      </w:r>
      <w:r>
        <w:rPr>
          <w:rFonts w:ascii="Arial" w:hAnsi="Arial" w:cs="Arial"/>
          <w:b/>
          <w:color w:val="1F497D" w:themeColor="text2"/>
          <w:sz w:val="26"/>
          <w:szCs w:val="26"/>
        </w:rPr>
        <w:t xml:space="preserve"> nelle abitazioni</w:t>
      </w:r>
    </w:p>
    <w:p w14:paraId="3F1B8364" w14:textId="77777777" w:rsidR="004E6685" w:rsidRPr="00845969" w:rsidRDefault="004E6685" w:rsidP="004E6685">
      <w:pPr>
        <w:pStyle w:val="Default"/>
        <w:spacing w:after="120"/>
        <w:jc w:val="both"/>
        <w:rPr>
          <w:rFonts w:ascii="Arial" w:hAnsi="Arial" w:cs="Arial"/>
          <w:b/>
          <w:color w:val="1F497D" w:themeColor="text2"/>
          <w:sz w:val="10"/>
          <w:szCs w:val="10"/>
        </w:rPr>
      </w:pPr>
      <w:r w:rsidRPr="009A13F8">
        <w:rPr>
          <w:rFonts w:ascii="Arial" w:hAnsi="Arial" w:cs="Arial"/>
          <w:sz w:val="22"/>
          <w:szCs w:val="22"/>
        </w:rPr>
        <w:t xml:space="preserve">Nel 2017, in Italia la spesa media mensile familiare per consumi di beni e servizi </w:t>
      </w:r>
      <w:r>
        <w:rPr>
          <w:rFonts w:ascii="Arial" w:hAnsi="Arial" w:cs="Arial"/>
          <w:sz w:val="22"/>
          <w:szCs w:val="22"/>
        </w:rPr>
        <w:t>(</w:t>
      </w:r>
      <w:r w:rsidRPr="00D80BCE">
        <w:rPr>
          <w:rFonts w:ascii="Arial" w:hAnsi="Arial" w:cs="Arial"/>
          <w:sz w:val="22"/>
          <w:szCs w:val="22"/>
        </w:rPr>
        <w:t xml:space="preserve">spesa totale per beni e servizi </w:t>
      </w:r>
      <w:r>
        <w:rPr>
          <w:rFonts w:ascii="Arial" w:hAnsi="Arial" w:cs="Arial"/>
          <w:sz w:val="22"/>
          <w:szCs w:val="22"/>
        </w:rPr>
        <w:t xml:space="preserve">in rapporto al </w:t>
      </w:r>
      <w:r w:rsidRPr="00D80BCE">
        <w:rPr>
          <w:rFonts w:ascii="Arial" w:hAnsi="Arial" w:cs="Arial"/>
          <w:sz w:val="22"/>
          <w:szCs w:val="22"/>
        </w:rPr>
        <w:t>numero di famiglie residenti)</w:t>
      </w:r>
      <w:r>
        <w:rPr>
          <w:rFonts w:ascii="Arial" w:hAnsi="Arial" w:cs="Arial"/>
          <w:sz w:val="22"/>
          <w:szCs w:val="22"/>
        </w:rPr>
        <w:t xml:space="preserve"> si è attestata su 2.564 euro. Di tale ammontare, </w:t>
      </w:r>
      <w:r w:rsidRPr="009A13F8">
        <w:rPr>
          <w:rFonts w:ascii="Arial" w:hAnsi="Arial" w:cs="Arial"/>
          <w:sz w:val="22"/>
          <w:szCs w:val="22"/>
        </w:rPr>
        <w:t xml:space="preserve">2.107 euro (82,2% del totale) </w:t>
      </w:r>
      <w:r>
        <w:rPr>
          <w:rFonts w:ascii="Arial" w:hAnsi="Arial" w:cs="Arial"/>
          <w:sz w:val="22"/>
          <w:szCs w:val="22"/>
        </w:rPr>
        <w:t xml:space="preserve">sono stati </w:t>
      </w:r>
      <w:r w:rsidRPr="009A13F8">
        <w:rPr>
          <w:rFonts w:ascii="Arial" w:hAnsi="Arial" w:cs="Arial"/>
          <w:sz w:val="22"/>
          <w:szCs w:val="22"/>
        </w:rPr>
        <w:t>destinati alla spesa di “Beni e servizi non alimentari”</w:t>
      </w:r>
      <w:r>
        <w:rPr>
          <w:rFonts w:ascii="Arial" w:hAnsi="Arial" w:cs="Arial"/>
          <w:sz w:val="22"/>
          <w:szCs w:val="22"/>
        </w:rPr>
        <w:t>,</w:t>
      </w:r>
      <w:r w:rsidRPr="009A13F8">
        <w:rPr>
          <w:rFonts w:ascii="Arial" w:hAnsi="Arial" w:cs="Arial"/>
          <w:sz w:val="22"/>
          <w:szCs w:val="22"/>
        </w:rPr>
        <w:t xml:space="preserve"> </w:t>
      </w:r>
      <w:r>
        <w:rPr>
          <w:rFonts w:ascii="Arial" w:hAnsi="Arial" w:cs="Arial"/>
          <w:sz w:val="22"/>
          <w:szCs w:val="22"/>
        </w:rPr>
        <w:t>che</w:t>
      </w:r>
      <w:r w:rsidRPr="009A13F8">
        <w:rPr>
          <w:rFonts w:ascii="Arial" w:hAnsi="Arial" w:cs="Arial"/>
          <w:sz w:val="22"/>
          <w:szCs w:val="22"/>
        </w:rPr>
        <w:t xml:space="preserve"> comprendono anche quelli relativi a</w:t>
      </w:r>
      <w:r>
        <w:rPr>
          <w:rFonts w:ascii="Arial" w:hAnsi="Arial" w:cs="Arial"/>
          <w:sz w:val="22"/>
          <w:szCs w:val="22"/>
        </w:rPr>
        <w:t>lla voce</w:t>
      </w:r>
      <w:r w:rsidRPr="009A13F8">
        <w:rPr>
          <w:rFonts w:ascii="Arial" w:hAnsi="Arial" w:cs="Arial"/>
          <w:sz w:val="22"/>
          <w:szCs w:val="22"/>
        </w:rPr>
        <w:t xml:space="preserve"> </w:t>
      </w:r>
      <w:r w:rsidRPr="00135FCE">
        <w:rPr>
          <w:rFonts w:ascii="Arial" w:hAnsi="Arial" w:cs="Arial"/>
          <w:sz w:val="22"/>
          <w:szCs w:val="22"/>
        </w:rPr>
        <w:t>“Abitazione, acqua, elettricità, gas e altri combustibili” (35% della spesa complessiva delle famiglie).</w:t>
      </w:r>
    </w:p>
    <w:p w14:paraId="52077B03" w14:textId="496E3B32" w:rsidR="00725F0B" w:rsidRDefault="00725F0B" w:rsidP="00725F0B">
      <w:pPr>
        <w:pStyle w:val="Testonotaapidipagina"/>
        <w:spacing w:after="120"/>
        <w:jc w:val="both"/>
        <w:rPr>
          <w:rFonts w:ascii="Arial" w:hAnsi="Arial" w:cs="Arial"/>
          <w:sz w:val="22"/>
          <w:szCs w:val="22"/>
        </w:rPr>
      </w:pPr>
      <w:r>
        <w:rPr>
          <w:rFonts w:ascii="Arial" w:hAnsi="Arial" w:cs="Arial"/>
          <w:sz w:val="22"/>
          <w:szCs w:val="22"/>
        </w:rPr>
        <w:t xml:space="preserve">Per la </w:t>
      </w:r>
      <w:r w:rsidRPr="00135FCE">
        <w:rPr>
          <w:rFonts w:ascii="Arial" w:hAnsi="Arial" w:cs="Arial"/>
          <w:sz w:val="22"/>
          <w:szCs w:val="22"/>
        </w:rPr>
        <w:t xml:space="preserve">fornitura di acqua </w:t>
      </w:r>
      <w:r>
        <w:rPr>
          <w:rFonts w:ascii="Arial" w:hAnsi="Arial" w:cs="Arial"/>
          <w:sz w:val="22"/>
          <w:szCs w:val="22"/>
        </w:rPr>
        <w:t>nel</w:t>
      </w:r>
      <w:r w:rsidRPr="00135FCE">
        <w:rPr>
          <w:rFonts w:ascii="Arial" w:hAnsi="Arial" w:cs="Arial"/>
          <w:sz w:val="22"/>
          <w:szCs w:val="22"/>
        </w:rPr>
        <w:t xml:space="preserve">l’abitazione </w:t>
      </w:r>
      <w:r>
        <w:rPr>
          <w:rFonts w:ascii="Arial" w:hAnsi="Arial" w:cs="Arial"/>
          <w:sz w:val="22"/>
          <w:szCs w:val="22"/>
        </w:rPr>
        <w:t>ogni famiglia ha speso in media</w:t>
      </w:r>
      <w:r w:rsidRPr="00427FDB">
        <w:rPr>
          <w:rFonts w:ascii="Arial" w:hAnsi="Arial" w:cs="Arial"/>
          <w:sz w:val="22"/>
          <w:szCs w:val="22"/>
        </w:rPr>
        <w:t xml:space="preserve"> 14,69 euro, </w:t>
      </w:r>
      <w:r w:rsidR="009951A9">
        <w:rPr>
          <w:rFonts w:ascii="Arial" w:hAnsi="Arial" w:cs="Arial"/>
          <w:sz w:val="22"/>
          <w:szCs w:val="22"/>
        </w:rPr>
        <w:t xml:space="preserve">a fronte dei </w:t>
      </w:r>
      <w:r w:rsidRPr="00427FDB">
        <w:rPr>
          <w:rFonts w:ascii="Arial" w:hAnsi="Arial" w:cs="Arial"/>
          <w:sz w:val="22"/>
          <w:szCs w:val="22"/>
        </w:rPr>
        <w:t>13,59 euro dell’anno precedente (Figura 3).</w:t>
      </w:r>
    </w:p>
    <w:p w14:paraId="3A7BABA0" w14:textId="77777777" w:rsidR="00845969" w:rsidRDefault="00725F0B" w:rsidP="00845969">
      <w:pPr>
        <w:tabs>
          <w:tab w:val="left" w:pos="900"/>
        </w:tabs>
        <w:spacing w:after="120"/>
        <w:jc w:val="both"/>
        <w:rPr>
          <w:rFonts w:ascii="Arial" w:hAnsi="Arial" w:cs="Arial"/>
          <w:sz w:val="22"/>
          <w:szCs w:val="22"/>
        </w:rPr>
      </w:pPr>
      <w:r w:rsidRPr="00427FDB">
        <w:rPr>
          <w:rFonts w:ascii="Arial" w:hAnsi="Arial" w:cs="Arial"/>
          <w:sz w:val="22"/>
          <w:szCs w:val="22"/>
        </w:rPr>
        <w:t>Le famiglie che hanno dichiarato di effettuare questa spesa rappresentano il 78,3% del totale. In particolare, tali valori sono superiori al 90% in cinque regioni, localizzate nel Sud e nel Centro: Abruzzo (94,8%), Basilicata (94,1%), Puglia (91,3%), Molise (90,6%) e Umbria (90,1%). Le percentuali più basse si registrano nel Lazio (60,1%) e in Lombardia (62,0%).</w:t>
      </w:r>
    </w:p>
    <w:p w14:paraId="0EE6774E" w14:textId="72380017" w:rsidR="00845969" w:rsidRPr="00725F0B" w:rsidRDefault="0074699E" w:rsidP="00845969">
      <w:pPr>
        <w:tabs>
          <w:tab w:val="left" w:pos="900"/>
        </w:tabs>
        <w:spacing w:after="120"/>
        <w:jc w:val="both"/>
        <w:rPr>
          <w:rFonts w:ascii="Arial" w:hAnsi="Arial" w:cs="Arial"/>
          <w:sz w:val="22"/>
          <w:szCs w:val="22"/>
        </w:rPr>
      </w:pPr>
      <w:r>
        <w:rPr>
          <w:rFonts w:ascii="Arial" w:hAnsi="Arial" w:cs="Arial"/>
          <w:sz w:val="22"/>
          <w:szCs w:val="22"/>
        </w:rPr>
        <w:t>Rispetto al 2014</w:t>
      </w:r>
      <w:r w:rsidR="00845969" w:rsidRPr="00EE3FBD">
        <w:rPr>
          <w:rFonts w:ascii="Arial" w:hAnsi="Arial" w:cs="Arial"/>
          <w:sz w:val="22"/>
          <w:szCs w:val="22"/>
        </w:rPr>
        <w:t>, si osserva nel complesso una crescita delle spese familia</w:t>
      </w:r>
      <w:r w:rsidR="00845969">
        <w:rPr>
          <w:rFonts w:ascii="Arial" w:hAnsi="Arial" w:cs="Arial"/>
          <w:sz w:val="22"/>
          <w:szCs w:val="22"/>
        </w:rPr>
        <w:t>ri</w:t>
      </w:r>
      <w:r w:rsidR="00845969" w:rsidRPr="00EE3FBD">
        <w:rPr>
          <w:rFonts w:ascii="Arial" w:hAnsi="Arial" w:cs="Arial"/>
          <w:sz w:val="22"/>
          <w:szCs w:val="22"/>
        </w:rPr>
        <w:t xml:space="preserve"> per acqua minerale (+20,6%) maggiore rispetto a quelle per la fornitura di acqua alle abitazioni (+11,8%).</w:t>
      </w:r>
    </w:p>
    <w:p w14:paraId="1E0987F5" w14:textId="77777777" w:rsidR="00725F0B" w:rsidRPr="00132A04" w:rsidRDefault="00725F0B" w:rsidP="00420D28">
      <w:pPr>
        <w:autoSpaceDE w:val="0"/>
        <w:autoSpaceDN w:val="0"/>
        <w:adjustRightInd w:val="0"/>
        <w:spacing w:after="120"/>
        <w:jc w:val="both"/>
        <w:rPr>
          <w:rFonts w:ascii="Arial" w:hAnsi="Arial" w:cs="Arial"/>
          <w:b/>
          <w:color w:val="1F497D" w:themeColor="text2"/>
          <w:sz w:val="14"/>
          <w:szCs w:val="20"/>
        </w:rPr>
      </w:pPr>
    </w:p>
    <w:p w14:paraId="6EB19300" w14:textId="092E0A2F" w:rsidR="00116BF2" w:rsidRPr="00EE3FBD" w:rsidRDefault="00936F28" w:rsidP="00427FDB">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In leggero miglioramento il r</w:t>
      </w:r>
      <w:r w:rsidR="00116BF2" w:rsidRPr="00EE3FBD">
        <w:rPr>
          <w:rFonts w:ascii="Arial" w:hAnsi="Arial" w:cs="Arial"/>
          <w:b/>
          <w:color w:val="1F497D" w:themeColor="text2"/>
          <w:sz w:val="26"/>
          <w:szCs w:val="26"/>
        </w:rPr>
        <w:t xml:space="preserve">azionamento </w:t>
      </w:r>
      <w:r>
        <w:rPr>
          <w:rFonts w:ascii="Arial" w:hAnsi="Arial" w:cs="Arial"/>
          <w:b/>
          <w:color w:val="1F497D" w:themeColor="text2"/>
          <w:sz w:val="26"/>
          <w:szCs w:val="26"/>
        </w:rPr>
        <w:t>nei capoluoghi del Mezzogiorno</w:t>
      </w:r>
    </w:p>
    <w:p w14:paraId="2D614E67" w14:textId="09557468" w:rsidR="00116BF2" w:rsidRPr="00EE3FBD" w:rsidRDefault="00D266F9">
      <w:pPr>
        <w:autoSpaceDE w:val="0"/>
        <w:autoSpaceDN w:val="0"/>
        <w:adjustRightInd w:val="0"/>
        <w:spacing w:after="120"/>
        <w:jc w:val="both"/>
        <w:rPr>
          <w:rFonts w:ascii="Arial" w:hAnsi="Arial" w:cs="Arial"/>
          <w:sz w:val="22"/>
          <w:szCs w:val="22"/>
        </w:rPr>
      </w:pPr>
      <w:r>
        <w:rPr>
          <w:rFonts w:ascii="Arial" w:hAnsi="Arial" w:cs="Arial"/>
          <w:sz w:val="22"/>
          <w:szCs w:val="22"/>
        </w:rPr>
        <w:t>S</w:t>
      </w:r>
      <w:r w:rsidRPr="00427FDB">
        <w:rPr>
          <w:rFonts w:ascii="Arial" w:hAnsi="Arial" w:cs="Arial"/>
          <w:sz w:val="22"/>
          <w:szCs w:val="22"/>
        </w:rPr>
        <w:t xml:space="preserve">ono 11 </w:t>
      </w:r>
      <w:r>
        <w:rPr>
          <w:rFonts w:ascii="Arial" w:hAnsi="Arial" w:cs="Arial"/>
          <w:sz w:val="22"/>
          <w:szCs w:val="22"/>
        </w:rPr>
        <w:t xml:space="preserve">i </w:t>
      </w:r>
      <w:r w:rsidR="00116BF2" w:rsidRPr="00427FDB">
        <w:rPr>
          <w:rFonts w:ascii="Arial" w:hAnsi="Arial" w:cs="Arial"/>
          <w:sz w:val="22"/>
          <w:szCs w:val="22"/>
        </w:rPr>
        <w:t>comuni capoluogo di provincia</w:t>
      </w:r>
      <w:r w:rsidR="00845969">
        <w:rPr>
          <w:rFonts w:ascii="Arial" w:hAnsi="Arial" w:cs="Arial"/>
          <w:sz w:val="22"/>
          <w:szCs w:val="22"/>
        </w:rPr>
        <w:t>/</w:t>
      </w:r>
      <w:r w:rsidR="00116BF2" w:rsidRPr="00427FDB">
        <w:rPr>
          <w:rFonts w:ascii="Arial" w:hAnsi="Arial" w:cs="Arial"/>
          <w:sz w:val="22"/>
          <w:szCs w:val="22"/>
        </w:rPr>
        <w:t>città metropolitana interessati nel 2017 da misure di razionamento nella distribuzione dell’acqua per uso civile</w:t>
      </w:r>
      <w:r>
        <w:rPr>
          <w:rFonts w:ascii="Arial" w:hAnsi="Arial" w:cs="Arial"/>
          <w:sz w:val="22"/>
          <w:szCs w:val="22"/>
        </w:rPr>
        <w:t>,</w:t>
      </w:r>
      <w:r w:rsidR="00116BF2" w:rsidRPr="00427FDB">
        <w:rPr>
          <w:rFonts w:ascii="Arial" w:hAnsi="Arial" w:cs="Arial"/>
          <w:sz w:val="22"/>
          <w:szCs w:val="22"/>
        </w:rPr>
        <w:t xml:space="preserve"> tutti ubicati nell’area del Mezzogiorno a eccezione di Latina.</w:t>
      </w:r>
    </w:p>
    <w:p w14:paraId="0909925F" w14:textId="2A53AFDA" w:rsidR="00116BF2" w:rsidRPr="00EE3FBD" w:rsidRDefault="00845969">
      <w:pPr>
        <w:autoSpaceDE w:val="0"/>
        <w:autoSpaceDN w:val="0"/>
        <w:adjustRightInd w:val="0"/>
        <w:spacing w:after="120"/>
        <w:jc w:val="both"/>
        <w:rPr>
          <w:rFonts w:ascii="Arial" w:hAnsi="Arial" w:cs="Arial"/>
          <w:sz w:val="22"/>
          <w:szCs w:val="22"/>
        </w:rPr>
      </w:pPr>
      <w:r>
        <w:rPr>
          <w:rFonts w:ascii="Arial" w:hAnsi="Arial" w:cs="Arial"/>
          <w:sz w:val="22"/>
          <w:szCs w:val="22"/>
        </w:rPr>
        <w:t xml:space="preserve">Cosenza e Trapani </w:t>
      </w:r>
      <w:r w:rsidRPr="00EE3FBD">
        <w:rPr>
          <w:rFonts w:ascii="Arial" w:hAnsi="Arial" w:cs="Arial"/>
          <w:sz w:val="22"/>
          <w:szCs w:val="22"/>
        </w:rPr>
        <w:t xml:space="preserve">sono </w:t>
      </w:r>
      <w:r>
        <w:rPr>
          <w:rFonts w:ascii="Arial" w:hAnsi="Arial" w:cs="Arial"/>
          <w:sz w:val="22"/>
          <w:szCs w:val="22"/>
        </w:rPr>
        <w:t>le città</w:t>
      </w:r>
      <w:r w:rsidRPr="00EE3FBD">
        <w:rPr>
          <w:rFonts w:ascii="Arial" w:hAnsi="Arial" w:cs="Arial"/>
          <w:sz w:val="22"/>
          <w:szCs w:val="22"/>
        </w:rPr>
        <w:t xml:space="preserve"> </w:t>
      </w:r>
      <w:r w:rsidR="00116BF2" w:rsidRPr="00EE3FBD">
        <w:rPr>
          <w:rFonts w:ascii="Arial" w:hAnsi="Arial" w:cs="Arial"/>
          <w:sz w:val="22"/>
          <w:szCs w:val="22"/>
        </w:rPr>
        <w:t>che hanno subito maggior</w:t>
      </w:r>
      <w:r w:rsidR="00EF1ED2" w:rsidRPr="00EE3FBD">
        <w:rPr>
          <w:rFonts w:ascii="Arial" w:hAnsi="Arial" w:cs="Arial"/>
          <w:sz w:val="22"/>
          <w:szCs w:val="22"/>
        </w:rPr>
        <w:t>i</w:t>
      </w:r>
      <w:r w:rsidR="00116BF2" w:rsidRPr="00EE3FBD">
        <w:rPr>
          <w:rFonts w:ascii="Arial" w:hAnsi="Arial" w:cs="Arial"/>
          <w:sz w:val="22"/>
          <w:szCs w:val="22"/>
        </w:rPr>
        <w:t xml:space="preserve"> disagi </w:t>
      </w:r>
      <w:r w:rsidR="00F70EFD">
        <w:rPr>
          <w:rFonts w:ascii="Arial" w:hAnsi="Arial" w:cs="Arial"/>
          <w:sz w:val="22"/>
          <w:szCs w:val="22"/>
        </w:rPr>
        <w:t xml:space="preserve">per </w:t>
      </w:r>
      <w:r w:rsidR="00116BF2" w:rsidRPr="00EE3FBD">
        <w:rPr>
          <w:rFonts w:ascii="Arial" w:hAnsi="Arial" w:cs="Arial"/>
          <w:sz w:val="22"/>
          <w:szCs w:val="22"/>
        </w:rPr>
        <w:t>la riduzione o sospensione del servizio su tutto il territorio comunale</w:t>
      </w:r>
      <w:r w:rsidR="00895FD4">
        <w:rPr>
          <w:rFonts w:ascii="Arial" w:hAnsi="Arial" w:cs="Arial"/>
          <w:sz w:val="22"/>
          <w:szCs w:val="22"/>
        </w:rPr>
        <w:t xml:space="preserve">. </w:t>
      </w:r>
      <w:r w:rsidR="00EF1ED2" w:rsidRPr="00EE3FBD">
        <w:rPr>
          <w:rFonts w:ascii="Arial" w:hAnsi="Arial" w:cs="Arial"/>
          <w:sz w:val="22"/>
          <w:szCs w:val="22"/>
        </w:rPr>
        <w:t>I giorni di razionamento sono così distribuiti:</w:t>
      </w:r>
      <w:r>
        <w:rPr>
          <w:rFonts w:ascii="Arial" w:hAnsi="Arial" w:cs="Arial"/>
          <w:sz w:val="22"/>
          <w:szCs w:val="22"/>
        </w:rPr>
        <w:t xml:space="preserve"> </w:t>
      </w:r>
      <w:r w:rsidRPr="00EE3FBD">
        <w:rPr>
          <w:rFonts w:ascii="Arial" w:hAnsi="Arial" w:cs="Arial"/>
          <w:sz w:val="22"/>
          <w:szCs w:val="22"/>
        </w:rPr>
        <w:t>Cosenza (245 giorni)</w:t>
      </w:r>
      <w:r w:rsidR="00116BF2" w:rsidRPr="00EE3FBD">
        <w:rPr>
          <w:rFonts w:ascii="Arial" w:hAnsi="Arial" w:cs="Arial"/>
          <w:sz w:val="22"/>
          <w:szCs w:val="22"/>
        </w:rPr>
        <w:t>, Trapani (180 giorni), Enna (8).</w:t>
      </w:r>
      <w:r w:rsidR="00895FD4">
        <w:rPr>
          <w:rFonts w:ascii="Arial" w:hAnsi="Arial" w:cs="Arial"/>
          <w:sz w:val="22"/>
          <w:szCs w:val="22"/>
        </w:rPr>
        <w:t xml:space="preserve"> L</w:t>
      </w:r>
      <w:r w:rsidR="00895FD4" w:rsidRPr="00EE3FBD">
        <w:rPr>
          <w:rFonts w:ascii="Arial" w:hAnsi="Arial" w:cs="Arial"/>
          <w:sz w:val="22"/>
          <w:szCs w:val="22"/>
        </w:rPr>
        <w:t xml:space="preserve">a situazione è </w:t>
      </w:r>
      <w:r w:rsidR="00895FD4">
        <w:rPr>
          <w:rFonts w:ascii="Arial" w:hAnsi="Arial" w:cs="Arial"/>
          <w:sz w:val="22"/>
          <w:szCs w:val="22"/>
        </w:rPr>
        <w:t xml:space="preserve">in generale </w:t>
      </w:r>
      <w:r w:rsidR="00895FD4" w:rsidRPr="00EE3FBD">
        <w:rPr>
          <w:rFonts w:ascii="Arial" w:hAnsi="Arial" w:cs="Arial"/>
          <w:sz w:val="22"/>
          <w:szCs w:val="22"/>
        </w:rPr>
        <w:t xml:space="preserve">in </w:t>
      </w:r>
      <w:r w:rsidR="00895FD4">
        <w:rPr>
          <w:rFonts w:ascii="Arial" w:hAnsi="Arial" w:cs="Arial"/>
          <w:sz w:val="22"/>
          <w:szCs w:val="22"/>
        </w:rPr>
        <w:t>lieve</w:t>
      </w:r>
      <w:r w:rsidR="00895FD4" w:rsidRPr="00EE3FBD">
        <w:rPr>
          <w:rFonts w:ascii="Arial" w:hAnsi="Arial" w:cs="Arial"/>
          <w:sz w:val="22"/>
          <w:szCs w:val="22"/>
        </w:rPr>
        <w:t xml:space="preserve"> miglioramento </w:t>
      </w:r>
      <w:r w:rsidR="00895FD4">
        <w:rPr>
          <w:rFonts w:ascii="Arial" w:hAnsi="Arial" w:cs="Arial"/>
          <w:sz w:val="22"/>
          <w:szCs w:val="22"/>
        </w:rPr>
        <w:t>rispetto a</w:t>
      </w:r>
      <w:r w:rsidR="00895FD4" w:rsidRPr="00EE3FBD">
        <w:rPr>
          <w:rFonts w:ascii="Arial" w:hAnsi="Arial" w:cs="Arial"/>
          <w:sz w:val="22"/>
          <w:szCs w:val="22"/>
        </w:rPr>
        <w:t>l 2016.</w:t>
      </w:r>
    </w:p>
    <w:p w14:paraId="52D64458" w14:textId="557C4FBA" w:rsidR="0058126E" w:rsidRPr="0058126E" w:rsidRDefault="007A5DC2" w:rsidP="00132A04">
      <w:pPr>
        <w:autoSpaceDE w:val="0"/>
        <w:autoSpaceDN w:val="0"/>
        <w:adjustRightInd w:val="0"/>
        <w:spacing w:after="120"/>
        <w:jc w:val="both"/>
        <w:rPr>
          <w:rFonts w:ascii="Arial" w:hAnsi="Arial" w:cs="Arial"/>
          <w:b/>
          <w:color w:val="1F497D" w:themeColor="text2"/>
          <w:sz w:val="22"/>
          <w:szCs w:val="22"/>
        </w:rPr>
      </w:pPr>
      <w:r w:rsidRPr="00EE3FBD">
        <w:rPr>
          <w:rFonts w:ascii="Arial" w:hAnsi="Arial" w:cs="Arial"/>
          <w:sz w:val="22"/>
          <w:szCs w:val="22"/>
        </w:rPr>
        <w:t xml:space="preserve">Molto più diffusa l’adozione di misure di razionamento attivate solo su parte del territorio comunale. Al fine di accumulare acqua nei serbatoi e fare fronte alla richiesta nelle ore di maggiore consumo, nel corso del 2017 si è reso necessario sospendere la fornitura di acqua principalmente nelle ore notturne. </w:t>
      </w:r>
    </w:p>
    <w:p w14:paraId="163B2C21" w14:textId="77777777" w:rsidR="004E6685" w:rsidRPr="00FD3D4A" w:rsidRDefault="004E6685" w:rsidP="0058126E">
      <w:pPr>
        <w:tabs>
          <w:tab w:val="left" w:pos="900"/>
        </w:tabs>
        <w:spacing w:after="120"/>
        <w:jc w:val="both"/>
        <w:rPr>
          <w:rFonts w:ascii="Arial" w:hAnsi="Arial" w:cs="Arial"/>
          <w:b/>
          <w:color w:val="1F497D" w:themeColor="text2"/>
          <w:sz w:val="22"/>
          <w:szCs w:val="22"/>
        </w:rPr>
      </w:pPr>
    </w:p>
    <w:p w14:paraId="1DE3EE26" w14:textId="53EC3EDD" w:rsidR="003865FA" w:rsidRDefault="003865FA" w:rsidP="00B939A4">
      <w:pPr>
        <w:pStyle w:val="ATitoloTavolaFigura"/>
        <w:keepNext/>
        <w:spacing w:before="0" w:after="0"/>
        <w:ind w:left="0" w:firstLine="0"/>
        <w:rPr>
          <w:rFonts w:ascii="Arial Narrow" w:hAnsi="Arial Narrow"/>
          <w:b w:val="0"/>
          <w:iCs/>
          <w:noProof/>
          <w:color w:val="1F497D" w:themeColor="text2"/>
          <w:sz w:val="22"/>
          <w:szCs w:val="22"/>
        </w:rPr>
      </w:pPr>
      <w:r w:rsidRPr="00CC09D8">
        <w:rPr>
          <w:rFonts w:ascii="Arial Black" w:hAnsi="Arial Black"/>
          <w:iCs/>
          <w:noProof/>
          <w:color w:val="1F497D" w:themeColor="text2"/>
          <w:sz w:val="22"/>
          <w:szCs w:val="22"/>
        </w:rPr>
        <w:t xml:space="preserve">FIGURA </w:t>
      </w:r>
      <w:r w:rsidR="003A4863">
        <w:rPr>
          <w:rFonts w:ascii="Arial Black" w:hAnsi="Arial Black"/>
          <w:iCs/>
          <w:noProof/>
          <w:color w:val="1F497D" w:themeColor="text2"/>
          <w:sz w:val="22"/>
          <w:szCs w:val="22"/>
        </w:rPr>
        <w:t>3</w:t>
      </w:r>
      <w:r w:rsidRPr="00CC09D8">
        <w:rPr>
          <w:rFonts w:ascii="Arial Black" w:hAnsi="Arial Black"/>
          <w:iCs/>
          <w:noProof/>
          <w:color w:val="1F497D" w:themeColor="text2"/>
          <w:sz w:val="22"/>
          <w:szCs w:val="22"/>
        </w:rPr>
        <w:t>.</w:t>
      </w:r>
      <w:r w:rsidRPr="00EA4D4F">
        <w:rPr>
          <w:rFonts w:ascii="Arial" w:hAnsi="Arial"/>
          <w:iCs/>
        </w:rPr>
        <w:t xml:space="preserve"> </w:t>
      </w:r>
      <w:r w:rsidRPr="006F67CF">
        <w:rPr>
          <w:rFonts w:ascii="Arial Narrow" w:hAnsi="Arial Narrow"/>
          <w:iCs/>
          <w:noProof/>
          <w:color w:val="1F497D" w:themeColor="text2"/>
          <w:sz w:val="22"/>
          <w:szCs w:val="22"/>
        </w:rPr>
        <w:t xml:space="preserve">SPESA MEDIA MENSILE FAMILIARE PER ACQUA MINERALE E </w:t>
      </w:r>
      <w:r w:rsidR="00791DC1">
        <w:rPr>
          <w:rFonts w:ascii="Arial Narrow" w:hAnsi="Arial Narrow"/>
          <w:iCs/>
          <w:noProof/>
          <w:color w:val="1F497D" w:themeColor="text2"/>
          <w:sz w:val="22"/>
          <w:szCs w:val="22"/>
        </w:rPr>
        <w:t xml:space="preserve">FORNITURA DI ACQUA </w:t>
      </w:r>
      <w:r w:rsidRPr="006F67CF">
        <w:rPr>
          <w:rFonts w:ascii="Arial Narrow" w:hAnsi="Arial Narrow"/>
          <w:iCs/>
          <w:noProof/>
          <w:color w:val="1F497D" w:themeColor="text2"/>
          <w:sz w:val="22"/>
          <w:szCs w:val="22"/>
        </w:rPr>
        <w:t>PER L’ABITAZIONE</w:t>
      </w:r>
      <w:r>
        <w:rPr>
          <w:rFonts w:ascii="Arial Narrow" w:hAnsi="Arial Narrow"/>
          <w:iCs/>
          <w:noProof/>
          <w:color w:val="1F497D" w:themeColor="text2"/>
          <w:sz w:val="22"/>
          <w:szCs w:val="22"/>
        </w:rPr>
        <w:t xml:space="preserve">. </w:t>
      </w:r>
      <w:r w:rsidRPr="006F67CF">
        <w:rPr>
          <w:rFonts w:ascii="Arial Narrow" w:hAnsi="Arial Narrow"/>
          <w:b w:val="0"/>
          <w:iCs/>
          <w:noProof/>
          <w:color w:val="1F497D" w:themeColor="text2"/>
          <w:sz w:val="22"/>
          <w:szCs w:val="22"/>
        </w:rPr>
        <w:t>Anni 2014-2017, valori in euro</w:t>
      </w:r>
    </w:p>
    <w:p w14:paraId="08F927BD" w14:textId="77777777" w:rsidR="00E13C9F" w:rsidRPr="00132A04" w:rsidRDefault="00E13C9F" w:rsidP="00B939A4">
      <w:pPr>
        <w:pStyle w:val="ATitoloTavolaFigura"/>
        <w:keepNext/>
        <w:spacing w:before="0" w:after="0"/>
        <w:ind w:left="0" w:firstLine="0"/>
        <w:rPr>
          <w:rFonts w:ascii="Arial Narrow" w:hAnsi="Arial Narrow"/>
          <w:b w:val="0"/>
          <w:iCs/>
          <w:noProof/>
          <w:color w:val="1F497D" w:themeColor="text2"/>
          <w:sz w:val="24"/>
          <w:szCs w:val="22"/>
        </w:rPr>
      </w:pPr>
    </w:p>
    <w:p w14:paraId="26AD0EDC" w14:textId="7A2E68DD" w:rsidR="003A4863" w:rsidRPr="00F704E3" w:rsidRDefault="00A6077F" w:rsidP="00132A04">
      <w:pPr>
        <w:jc w:val="both"/>
        <w:rPr>
          <w:rFonts w:ascii="Arial Narrow" w:hAnsi="Arial Narrow"/>
          <w:sz w:val="15"/>
          <w:szCs w:val="15"/>
        </w:rPr>
      </w:pPr>
      <w:r w:rsidRPr="00A6077F">
        <w:rPr>
          <w:rFonts w:ascii="Arial" w:hAnsi="Arial" w:cs="Arial"/>
          <w:noProof/>
          <w:sz w:val="20"/>
        </w:rPr>
        <mc:AlternateContent>
          <mc:Choice Requires="wps">
            <w:drawing>
              <wp:anchor distT="0" distB="0" distL="114300" distR="114300" simplePos="0" relativeHeight="251692032" behindDoc="0" locked="0" layoutInCell="1" allowOverlap="1" wp14:anchorId="5059712B" wp14:editId="14EA4675">
                <wp:simplePos x="0" y="0"/>
                <wp:positionH relativeFrom="column">
                  <wp:posOffset>-27000</wp:posOffset>
                </wp:positionH>
                <wp:positionV relativeFrom="paragraph">
                  <wp:posOffset>87630</wp:posOffset>
                </wp:positionV>
                <wp:extent cx="226771" cy="219456"/>
                <wp:effectExtent l="0" t="0" r="0" b="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219456"/>
                        </a:xfrm>
                        <a:prstGeom prst="rect">
                          <a:avLst/>
                        </a:prstGeom>
                        <a:solidFill>
                          <a:srgbClr val="FFFFFF">
                            <a:alpha val="0"/>
                          </a:srgbClr>
                        </a:solidFill>
                        <a:ln w="9525">
                          <a:noFill/>
                          <a:miter lim="800000"/>
                          <a:headEnd/>
                          <a:tailEnd/>
                        </a:ln>
                      </wps:spPr>
                      <wps:txbx>
                        <w:txbxContent>
                          <w:p w14:paraId="3E5126B2" w14:textId="0CAFEB8D" w:rsidR="00A6077F" w:rsidRPr="00132A04" w:rsidRDefault="00A6077F">
                            <w:pPr>
                              <w:rPr>
                                <w:sz w:val="18"/>
                                <w:szCs w:val="18"/>
                              </w:rPr>
                            </w:pPr>
                            <w:r w:rsidRPr="00132A04">
                              <w:rPr>
                                <w:rFonts w:ascii="Arial Narrow" w:hAnsi="Arial Narrow"/>
                                <w:iCs/>
                                <w:noProof/>
                                <w:color w:val="1F497D"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5pt;margin-top:6.9pt;width:17.8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" stroked="f">
                <v:fill opacity="0"/>
                <v:textbox>
                  <w:txbxContent>
                    <w:p w14:paraId="3E5126B2" w14:textId="0CAFEB8D" w:rsidR="00A6077F" w:rsidRPr="00132A04" w:rsidRDefault="00A6077F">
                      <w:pPr>
                        <w:rPr>
                          <w:sz w:val="18"/>
                          <w:szCs w:val="18"/>
                        </w:rPr>
                      </w:pPr>
                      <w:r w:rsidRPr="00132A04">
                        <w:rPr>
                          <w:rFonts w:ascii="Arial Narrow" w:hAnsi="Arial Narrow"/>
                          <w:iCs/>
                          <w:noProof/>
                          <w:color w:val="1F497D" w:themeColor="text2"/>
                          <w:sz w:val="18"/>
                          <w:szCs w:val="18"/>
                        </w:rPr>
                        <w:t>€</w:t>
                      </w:r>
                    </w:p>
                  </w:txbxContent>
                </v:textbox>
              </v:shape>
            </w:pict>
          </mc:Fallback>
        </mc:AlternateContent>
      </w:r>
      <w:r w:rsidR="00192922">
        <w:rPr>
          <w:rFonts w:ascii="Arial" w:hAnsi="Arial" w:cs="Arial"/>
          <w:sz w:val="20"/>
        </w:rPr>
        <w:fldChar w:fldCharType="begin"/>
      </w:r>
      <w:r w:rsidR="00192922">
        <w:rPr>
          <w:rFonts w:ascii="Arial" w:hAnsi="Arial" w:cs="Arial"/>
          <w:sz w:val="20"/>
        </w:rPr>
        <w:instrText xml:space="preserve"> LINK Excel.Sheet.12 "C:\\Users\\e.vaccaro\\AppData\\Local\\Temp\\grafici acqua.xlsx!acqua minerale![grafici acqua.xlsx]acqua minerale Grafico 2" "" \a \p </w:instrText>
      </w:r>
      <w:r w:rsidR="00192922">
        <w:rPr>
          <w:rFonts w:ascii="Arial" w:hAnsi="Arial" w:cs="Arial"/>
          <w:sz w:val="20"/>
        </w:rPr>
        <w:fldChar w:fldCharType="separate"/>
      </w:r>
      <w:r w:rsidR="006E510C">
        <w:rPr>
          <w:rFonts w:ascii="Arial" w:hAnsi="Arial" w:cs="Arial"/>
          <w:sz w:val="20"/>
        </w:rPr>
        <w:object w:dxaOrig="13167" w:dyaOrig="4515" w14:anchorId="6F7C919E">
          <v:shape id="_x0000_i1027" type="#_x0000_t75" style="width:497.65pt;height:173.95pt">
            <v:imagedata r:id="rId15" o:title=""/>
          </v:shape>
        </w:object>
      </w:r>
      <w:r w:rsidR="00192922">
        <w:rPr>
          <w:rFonts w:ascii="Arial" w:hAnsi="Arial" w:cs="Arial"/>
          <w:sz w:val="20"/>
        </w:rPr>
        <w:fldChar w:fldCharType="end"/>
      </w:r>
      <w:r w:rsidR="003A4863" w:rsidRPr="00F704E3">
        <w:rPr>
          <w:rFonts w:ascii="Arial Narrow" w:hAnsi="Arial Narrow"/>
          <w:sz w:val="15"/>
          <w:szCs w:val="15"/>
        </w:rPr>
        <w:t xml:space="preserve">Fonte: Istat, Indagine </w:t>
      </w:r>
      <w:r w:rsidR="003A4863">
        <w:rPr>
          <w:rFonts w:ascii="Arial Narrow" w:hAnsi="Arial Narrow"/>
          <w:sz w:val="15"/>
          <w:szCs w:val="15"/>
        </w:rPr>
        <w:t>su</w:t>
      </w:r>
      <w:r w:rsidR="005630DD">
        <w:rPr>
          <w:rFonts w:ascii="Arial Narrow" w:hAnsi="Arial Narrow"/>
          <w:sz w:val="15"/>
          <w:szCs w:val="15"/>
        </w:rPr>
        <w:t>lle spese</w:t>
      </w:r>
      <w:r w:rsidR="003A4863">
        <w:rPr>
          <w:rFonts w:ascii="Arial Narrow" w:hAnsi="Arial Narrow"/>
          <w:sz w:val="15"/>
          <w:szCs w:val="15"/>
        </w:rPr>
        <w:t xml:space="preserve"> delle famiglie</w:t>
      </w:r>
    </w:p>
    <w:p w14:paraId="3919C1B3" w14:textId="77777777" w:rsidR="00FD3D4A" w:rsidRPr="00132A04" w:rsidRDefault="00FD3D4A" w:rsidP="004E6685">
      <w:pPr>
        <w:pStyle w:val="Default"/>
        <w:spacing w:after="120"/>
        <w:jc w:val="both"/>
        <w:rPr>
          <w:rFonts w:ascii="Arial" w:hAnsi="Arial" w:cs="Arial"/>
          <w:sz w:val="14"/>
          <w:szCs w:val="22"/>
        </w:rPr>
      </w:pPr>
    </w:p>
    <w:p w14:paraId="1996223F" w14:textId="27167FD5" w:rsidR="004E6685" w:rsidRPr="004E6685" w:rsidRDefault="004E6685" w:rsidP="004E6685">
      <w:pPr>
        <w:pStyle w:val="Default"/>
        <w:spacing w:after="120"/>
        <w:jc w:val="both"/>
        <w:rPr>
          <w:rFonts w:ascii="Arial" w:hAnsi="Arial" w:cs="Arial"/>
          <w:color w:val="auto"/>
          <w:sz w:val="22"/>
          <w:szCs w:val="22"/>
        </w:rPr>
      </w:pPr>
      <w:r w:rsidRPr="00EE3FBD">
        <w:rPr>
          <w:rFonts w:ascii="Arial" w:hAnsi="Arial" w:cs="Arial"/>
          <w:sz w:val="22"/>
          <w:szCs w:val="22"/>
        </w:rPr>
        <w:t>Le situazioni di maggiore difficoltà si sono verificate in alcune zone dell</w:t>
      </w:r>
      <w:r>
        <w:rPr>
          <w:rFonts w:ascii="Arial" w:hAnsi="Arial" w:cs="Arial"/>
          <w:sz w:val="22"/>
          <w:szCs w:val="22"/>
        </w:rPr>
        <w:t>e</w:t>
      </w:r>
      <w:r w:rsidRPr="00EE3FBD">
        <w:rPr>
          <w:rFonts w:ascii="Arial" w:hAnsi="Arial" w:cs="Arial"/>
          <w:sz w:val="22"/>
          <w:szCs w:val="22"/>
        </w:rPr>
        <w:t xml:space="preserve"> città di Catanzaro</w:t>
      </w:r>
      <w:r>
        <w:rPr>
          <w:rFonts w:ascii="Arial" w:hAnsi="Arial" w:cs="Arial"/>
          <w:sz w:val="22"/>
          <w:szCs w:val="22"/>
        </w:rPr>
        <w:t>, Palermo</w:t>
      </w:r>
      <w:r w:rsidRPr="00EE3FBD">
        <w:rPr>
          <w:rFonts w:ascii="Arial" w:hAnsi="Arial" w:cs="Arial"/>
          <w:sz w:val="22"/>
          <w:szCs w:val="22"/>
        </w:rPr>
        <w:t xml:space="preserve"> e Sassari, dove la distribuzione dell'acqua potabile è stata ridotta per alcune ore della giornata in tutti i giorni dell'anno. Anche in alcune aree della città di Caltanissetta si sono verificate molte giornate di riduzione o sospensione del </w:t>
      </w:r>
      <w:r w:rsidRPr="004E6685">
        <w:rPr>
          <w:rFonts w:ascii="Arial" w:hAnsi="Arial" w:cs="Arial"/>
          <w:color w:val="auto"/>
          <w:sz w:val="22"/>
          <w:szCs w:val="22"/>
        </w:rPr>
        <w:t>servizio (347). Critica anche la situazione di Agrigento (288), Reggio di Calabria (107), Avellino (31) e Latina (24).</w:t>
      </w:r>
    </w:p>
    <w:p w14:paraId="3D1088B9" w14:textId="77777777" w:rsidR="004E6685" w:rsidRPr="00132A04" w:rsidRDefault="004E6685" w:rsidP="004E6685">
      <w:pPr>
        <w:autoSpaceDE w:val="0"/>
        <w:autoSpaceDN w:val="0"/>
        <w:adjustRightInd w:val="0"/>
        <w:spacing w:after="120"/>
        <w:jc w:val="both"/>
        <w:rPr>
          <w:rFonts w:ascii="Arial" w:hAnsi="Arial" w:cs="Arial"/>
          <w:b/>
          <w:color w:val="1F497D" w:themeColor="text2"/>
          <w:sz w:val="12"/>
          <w:szCs w:val="20"/>
        </w:rPr>
      </w:pPr>
    </w:p>
    <w:p w14:paraId="581FD10F" w14:textId="77777777" w:rsidR="00980EE7" w:rsidRPr="00980EE7" w:rsidRDefault="003F3786">
      <w:pPr>
        <w:pStyle w:val="Default"/>
        <w:spacing w:after="120"/>
        <w:jc w:val="both"/>
        <w:rPr>
          <w:rFonts w:ascii="Arial" w:hAnsi="Arial" w:cs="Arial"/>
          <w:b/>
          <w:color w:val="1F497D" w:themeColor="text2"/>
          <w:sz w:val="26"/>
          <w:szCs w:val="26"/>
        </w:rPr>
      </w:pPr>
      <w:r w:rsidRPr="00427FDB">
        <w:rPr>
          <w:rFonts w:ascii="Arial" w:hAnsi="Arial" w:cs="Arial"/>
          <w:b/>
          <w:color w:val="1F497D" w:themeColor="text2"/>
          <w:sz w:val="26"/>
          <w:szCs w:val="26"/>
        </w:rPr>
        <w:t>I</w:t>
      </w:r>
      <w:r w:rsidR="00021B43">
        <w:rPr>
          <w:rFonts w:ascii="Arial" w:hAnsi="Arial" w:cs="Arial"/>
          <w:b/>
          <w:color w:val="1F497D" w:themeColor="text2"/>
          <w:sz w:val="26"/>
          <w:szCs w:val="26"/>
        </w:rPr>
        <w:t>rrigato un quinto del</w:t>
      </w:r>
      <w:r w:rsidRPr="00427FDB">
        <w:rPr>
          <w:rFonts w:ascii="Arial" w:hAnsi="Arial" w:cs="Arial"/>
          <w:b/>
          <w:color w:val="1F497D" w:themeColor="text2"/>
          <w:sz w:val="26"/>
          <w:szCs w:val="26"/>
        </w:rPr>
        <w:t xml:space="preserve">la superficie </w:t>
      </w:r>
      <w:r w:rsidR="00021B43">
        <w:rPr>
          <w:rFonts w:ascii="Arial" w:hAnsi="Arial" w:cs="Arial"/>
          <w:b/>
          <w:color w:val="1F497D" w:themeColor="text2"/>
          <w:sz w:val="26"/>
          <w:szCs w:val="26"/>
        </w:rPr>
        <w:t>utilizzata dalle aziende agricole</w:t>
      </w:r>
    </w:p>
    <w:p w14:paraId="57A40833" w14:textId="61DF8239" w:rsidR="00123063" w:rsidRPr="00123063" w:rsidRDefault="004D0D63">
      <w:pPr>
        <w:pStyle w:val="Default"/>
        <w:spacing w:after="120"/>
        <w:jc w:val="both"/>
        <w:rPr>
          <w:rFonts w:ascii="Arial" w:hAnsi="Arial" w:cs="Arial"/>
          <w:color w:val="auto"/>
          <w:sz w:val="22"/>
          <w:szCs w:val="22"/>
        </w:rPr>
      </w:pPr>
      <w:r>
        <w:rPr>
          <w:rFonts w:ascii="Arial" w:hAnsi="Arial" w:cs="Arial"/>
          <w:color w:val="auto"/>
          <w:sz w:val="22"/>
          <w:szCs w:val="22"/>
        </w:rPr>
        <w:t>I</w:t>
      </w:r>
      <w:r w:rsidR="00123063" w:rsidRPr="00123063">
        <w:rPr>
          <w:rFonts w:ascii="Arial" w:hAnsi="Arial" w:cs="Arial"/>
          <w:color w:val="auto"/>
          <w:sz w:val="22"/>
          <w:szCs w:val="22"/>
        </w:rPr>
        <w:t xml:space="preserve">l settore agricolo si contraddistingue </w:t>
      </w:r>
      <w:r w:rsidR="00C47B59">
        <w:rPr>
          <w:rFonts w:ascii="Arial" w:hAnsi="Arial" w:cs="Arial"/>
          <w:color w:val="auto"/>
          <w:sz w:val="22"/>
          <w:szCs w:val="22"/>
        </w:rPr>
        <w:t>per essere</w:t>
      </w:r>
      <w:r w:rsidR="00C47B59" w:rsidRPr="00123063">
        <w:rPr>
          <w:rFonts w:ascii="Arial" w:hAnsi="Arial" w:cs="Arial"/>
          <w:color w:val="auto"/>
          <w:sz w:val="22"/>
          <w:szCs w:val="22"/>
        </w:rPr>
        <w:t xml:space="preserve"> </w:t>
      </w:r>
      <w:r w:rsidR="00123063" w:rsidRPr="00123063">
        <w:rPr>
          <w:rFonts w:ascii="Arial" w:hAnsi="Arial" w:cs="Arial"/>
          <w:color w:val="auto"/>
          <w:sz w:val="22"/>
          <w:szCs w:val="22"/>
        </w:rPr>
        <w:t xml:space="preserve">il </w:t>
      </w:r>
      <w:r w:rsidR="00BE05E6">
        <w:rPr>
          <w:rFonts w:ascii="Arial" w:hAnsi="Arial" w:cs="Arial"/>
          <w:color w:val="auto"/>
          <w:sz w:val="22"/>
          <w:szCs w:val="22"/>
        </w:rPr>
        <w:t xml:space="preserve">maggiore </w:t>
      </w:r>
      <w:r w:rsidR="00123063" w:rsidRPr="00123063">
        <w:rPr>
          <w:rFonts w:ascii="Arial" w:hAnsi="Arial" w:cs="Arial"/>
          <w:color w:val="auto"/>
          <w:sz w:val="22"/>
          <w:szCs w:val="22"/>
        </w:rPr>
        <w:t>utilizzatore di acqua</w:t>
      </w:r>
      <w:r w:rsidR="00D266F9">
        <w:rPr>
          <w:rFonts w:ascii="Arial" w:hAnsi="Arial" w:cs="Arial"/>
          <w:color w:val="auto"/>
          <w:sz w:val="22"/>
          <w:szCs w:val="22"/>
        </w:rPr>
        <w:t>.</w:t>
      </w:r>
      <w:r>
        <w:rPr>
          <w:rFonts w:ascii="Arial" w:hAnsi="Arial" w:cs="Arial"/>
          <w:color w:val="auto"/>
          <w:sz w:val="22"/>
          <w:szCs w:val="22"/>
        </w:rPr>
        <w:t xml:space="preserve"> </w:t>
      </w:r>
      <w:r w:rsidR="00D266F9">
        <w:rPr>
          <w:rFonts w:ascii="Arial" w:hAnsi="Arial" w:cs="Arial"/>
          <w:color w:val="auto"/>
          <w:sz w:val="22"/>
          <w:szCs w:val="22"/>
        </w:rPr>
        <w:t>P</w:t>
      </w:r>
      <w:r w:rsidRPr="00123063">
        <w:rPr>
          <w:rFonts w:ascii="Arial" w:hAnsi="Arial" w:cs="Arial"/>
          <w:color w:val="auto"/>
          <w:sz w:val="22"/>
          <w:szCs w:val="22"/>
        </w:rPr>
        <w:t>iù del 50</w:t>
      </w:r>
      <w:r>
        <w:rPr>
          <w:rFonts w:ascii="Arial" w:hAnsi="Arial" w:cs="Arial"/>
          <w:color w:val="auto"/>
          <w:sz w:val="22"/>
          <w:szCs w:val="22"/>
        </w:rPr>
        <w:t xml:space="preserve">% del </w:t>
      </w:r>
      <w:r w:rsidR="00A14A58">
        <w:rPr>
          <w:rFonts w:ascii="Arial" w:hAnsi="Arial" w:cs="Arial"/>
          <w:color w:val="auto"/>
          <w:sz w:val="22"/>
          <w:szCs w:val="22"/>
        </w:rPr>
        <w:t xml:space="preserve">volume complessivamente utilizzato in Italia </w:t>
      </w:r>
      <w:r>
        <w:rPr>
          <w:rFonts w:ascii="Arial" w:hAnsi="Arial" w:cs="Arial"/>
          <w:color w:val="auto"/>
          <w:sz w:val="22"/>
          <w:szCs w:val="22"/>
        </w:rPr>
        <w:t>è destinato all</w:t>
      </w:r>
      <w:r w:rsidR="00123063" w:rsidRPr="00123063">
        <w:rPr>
          <w:rFonts w:ascii="Arial" w:hAnsi="Arial" w:cs="Arial"/>
          <w:color w:val="auto"/>
          <w:sz w:val="22"/>
          <w:szCs w:val="22"/>
        </w:rPr>
        <w:t>'irrigazione.</w:t>
      </w:r>
    </w:p>
    <w:p w14:paraId="4ADB634B" w14:textId="77777777" w:rsidR="00123063" w:rsidRPr="006402DA" w:rsidRDefault="00123063">
      <w:pPr>
        <w:pStyle w:val="Default"/>
        <w:spacing w:after="120"/>
        <w:jc w:val="both"/>
        <w:rPr>
          <w:rFonts w:ascii="Arial" w:hAnsi="Arial" w:cs="Arial"/>
          <w:color w:val="auto"/>
          <w:sz w:val="22"/>
          <w:szCs w:val="22"/>
        </w:rPr>
      </w:pPr>
      <w:r w:rsidRPr="00427FDB">
        <w:rPr>
          <w:rFonts w:ascii="Arial" w:hAnsi="Arial" w:cs="Arial"/>
          <w:color w:val="auto"/>
          <w:sz w:val="22"/>
          <w:szCs w:val="22"/>
        </w:rPr>
        <w:t xml:space="preserve">Nell’annata agraria 2015-2016 la superficie irrigabile </w:t>
      </w:r>
      <w:r w:rsidR="004D0D63" w:rsidRPr="006402DA">
        <w:rPr>
          <w:rFonts w:ascii="Arial" w:hAnsi="Arial" w:cs="Arial"/>
          <w:color w:val="auto"/>
          <w:sz w:val="22"/>
          <w:szCs w:val="22"/>
        </w:rPr>
        <w:t>(superficie attrezzata per l’irrigazione)</w:t>
      </w:r>
      <w:r w:rsidR="00BE05E6">
        <w:rPr>
          <w:rFonts w:ascii="Arial" w:hAnsi="Arial" w:cs="Arial"/>
          <w:color w:val="auto"/>
          <w:sz w:val="22"/>
          <w:szCs w:val="22"/>
        </w:rPr>
        <w:t>,</w:t>
      </w:r>
      <w:r w:rsidR="004D0D63" w:rsidRPr="006402DA">
        <w:rPr>
          <w:rFonts w:ascii="Arial" w:hAnsi="Arial" w:cs="Arial"/>
          <w:color w:val="auto"/>
          <w:sz w:val="22"/>
          <w:szCs w:val="22"/>
        </w:rPr>
        <w:t xml:space="preserve"> distribuita su circa 572 mila </w:t>
      </w:r>
      <w:r w:rsidRPr="006402DA">
        <w:rPr>
          <w:rFonts w:ascii="Arial" w:hAnsi="Arial" w:cs="Arial"/>
          <w:color w:val="auto"/>
          <w:sz w:val="22"/>
          <w:szCs w:val="22"/>
        </w:rPr>
        <w:t xml:space="preserve">aziende agricole italiane, </w:t>
      </w:r>
      <w:r w:rsidR="004D0D63" w:rsidRPr="006402DA">
        <w:rPr>
          <w:rFonts w:ascii="Arial" w:hAnsi="Arial" w:cs="Arial"/>
          <w:color w:val="auto"/>
          <w:sz w:val="22"/>
          <w:szCs w:val="22"/>
        </w:rPr>
        <w:t>è stata</w:t>
      </w:r>
      <w:r w:rsidRPr="006402DA">
        <w:rPr>
          <w:rFonts w:ascii="Arial" w:hAnsi="Arial" w:cs="Arial"/>
          <w:color w:val="auto"/>
          <w:sz w:val="22"/>
          <w:szCs w:val="22"/>
        </w:rPr>
        <w:t xml:space="preserve"> pari a 4.123 migliaia di ettari. Rispetto al 1982 l’area irrigabile </w:t>
      </w:r>
      <w:r w:rsidR="00D266F9">
        <w:rPr>
          <w:rFonts w:ascii="Arial" w:hAnsi="Arial" w:cs="Arial"/>
          <w:color w:val="auto"/>
          <w:sz w:val="22"/>
          <w:szCs w:val="22"/>
        </w:rPr>
        <w:t>è cresciuta</w:t>
      </w:r>
      <w:r w:rsidRPr="006402DA">
        <w:rPr>
          <w:rFonts w:ascii="Arial" w:hAnsi="Arial" w:cs="Arial"/>
          <w:color w:val="auto"/>
          <w:sz w:val="22"/>
          <w:szCs w:val="22"/>
        </w:rPr>
        <w:t xml:space="preserve"> di circa il 4,2</w:t>
      </w:r>
      <w:r w:rsidR="005046D5" w:rsidRPr="006402DA">
        <w:rPr>
          <w:rFonts w:ascii="Arial" w:hAnsi="Arial" w:cs="Arial"/>
          <w:color w:val="auto"/>
          <w:sz w:val="22"/>
          <w:szCs w:val="22"/>
        </w:rPr>
        <w:t xml:space="preserve">% </w:t>
      </w:r>
      <w:r w:rsidR="00C47B59" w:rsidRPr="006402DA">
        <w:rPr>
          <w:rFonts w:ascii="Arial" w:hAnsi="Arial" w:cs="Arial"/>
          <w:color w:val="auto"/>
          <w:sz w:val="22"/>
          <w:szCs w:val="22"/>
        </w:rPr>
        <w:t>(nel 2016 il dato include anche l’irrigazione di soccorso, precedentemente escluso)</w:t>
      </w:r>
      <w:r w:rsidRPr="006402DA">
        <w:rPr>
          <w:rFonts w:ascii="Arial" w:hAnsi="Arial" w:cs="Arial"/>
          <w:color w:val="auto"/>
          <w:sz w:val="22"/>
          <w:szCs w:val="22"/>
        </w:rPr>
        <w:t>.</w:t>
      </w:r>
    </w:p>
    <w:p w14:paraId="5D7D1B1F" w14:textId="5693C150" w:rsidR="00123063" w:rsidRPr="006402DA" w:rsidRDefault="00123063">
      <w:pPr>
        <w:pStyle w:val="Default"/>
        <w:spacing w:after="120"/>
        <w:jc w:val="both"/>
        <w:rPr>
          <w:rFonts w:ascii="Arial" w:hAnsi="Arial" w:cs="Arial"/>
          <w:color w:val="auto"/>
          <w:sz w:val="22"/>
          <w:szCs w:val="22"/>
        </w:rPr>
      </w:pPr>
      <w:r w:rsidRPr="006402DA">
        <w:rPr>
          <w:rFonts w:ascii="Arial" w:hAnsi="Arial" w:cs="Arial"/>
          <w:color w:val="auto"/>
          <w:sz w:val="22"/>
          <w:szCs w:val="22"/>
        </w:rPr>
        <w:t xml:space="preserve">La superficie irrigata misura la quantità effettiva di terreni irrigati e può variare notevolmente, di anno in anno e sul territorio, a seconda delle condizioni meteoclimatiche e delle colture praticate. Nell’annata agraria </w:t>
      </w:r>
      <w:r w:rsidR="00BB35B4" w:rsidRPr="006402DA">
        <w:rPr>
          <w:rFonts w:ascii="Arial" w:hAnsi="Arial" w:cs="Arial"/>
          <w:color w:val="auto"/>
          <w:sz w:val="22"/>
          <w:szCs w:val="22"/>
        </w:rPr>
        <w:t>considerata</w:t>
      </w:r>
      <w:r w:rsidR="003F3786" w:rsidRPr="006402DA">
        <w:rPr>
          <w:rFonts w:ascii="Arial" w:hAnsi="Arial" w:cs="Arial"/>
          <w:color w:val="auto"/>
          <w:sz w:val="22"/>
          <w:szCs w:val="22"/>
        </w:rPr>
        <w:t>,</w:t>
      </w:r>
      <w:r w:rsidRPr="006402DA">
        <w:rPr>
          <w:rFonts w:ascii="Arial" w:hAnsi="Arial" w:cs="Arial"/>
          <w:color w:val="auto"/>
          <w:sz w:val="22"/>
          <w:szCs w:val="22"/>
        </w:rPr>
        <w:t xml:space="preserve"> l’irrigazione è stata effettuata dal 42,9</w:t>
      </w:r>
      <w:r w:rsidR="005046D5" w:rsidRPr="006402DA">
        <w:rPr>
          <w:rFonts w:ascii="Arial" w:hAnsi="Arial" w:cs="Arial"/>
          <w:color w:val="auto"/>
          <w:sz w:val="22"/>
          <w:szCs w:val="22"/>
        </w:rPr>
        <w:t>%</w:t>
      </w:r>
      <w:r w:rsidRPr="006402DA">
        <w:rPr>
          <w:rFonts w:ascii="Arial" w:hAnsi="Arial" w:cs="Arial"/>
          <w:color w:val="auto"/>
          <w:sz w:val="22"/>
          <w:szCs w:val="22"/>
        </w:rPr>
        <w:t xml:space="preserve"> delle aziende agricole</w:t>
      </w:r>
      <w:r w:rsidR="00A452AC">
        <w:rPr>
          <w:rFonts w:ascii="Arial" w:hAnsi="Arial" w:cs="Arial"/>
          <w:color w:val="auto"/>
          <w:sz w:val="22"/>
          <w:szCs w:val="22"/>
        </w:rPr>
        <w:t>; sono</w:t>
      </w:r>
      <w:r w:rsidRPr="006402DA">
        <w:rPr>
          <w:rFonts w:ascii="Arial" w:hAnsi="Arial" w:cs="Arial"/>
          <w:color w:val="auto"/>
          <w:sz w:val="22"/>
          <w:szCs w:val="22"/>
        </w:rPr>
        <w:t xml:space="preserve"> quasi 491 mila le aziende che irrigano una superficie di 2.553 migliaia di ettari.</w:t>
      </w:r>
    </w:p>
    <w:p w14:paraId="23865D2A" w14:textId="008EE017" w:rsidR="00412E4F" w:rsidRPr="006402DA" w:rsidRDefault="00123063">
      <w:pPr>
        <w:pStyle w:val="Default"/>
        <w:spacing w:after="120"/>
        <w:jc w:val="both"/>
        <w:rPr>
          <w:rFonts w:ascii="Arial" w:hAnsi="Arial" w:cs="Arial"/>
          <w:color w:val="auto"/>
          <w:sz w:val="22"/>
          <w:szCs w:val="22"/>
        </w:rPr>
      </w:pPr>
      <w:r w:rsidRPr="006402DA">
        <w:rPr>
          <w:rFonts w:ascii="Arial" w:hAnsi="Arial" w:cs="Arial"/>
          <w:color w:val="auto"/>
          <w:sz w:val="22"/>
          <w:szCs w:val="22"/>
        </w:rPr>
        <w:t xml:space="preserve">Rispetto al 1982, se da un lato la superficie irrigata fa registrare un </w:t>
      </w:r>
      <w:r w:rsidR="00BE05E6" w:rsidRPr="006402DA">
        <w:rPr>
          <w:rFonts w:ascii="Arial" w:hAnsi="Arial" w:cs="Arial"/>
          <w:color w:val="auto"/>
          <w:sz w:val="22"/>
          <w:szCs w:val="22"/>
        </w:rPr>
        <w:t xml:space="preserve">seppur lieve </w:t>
      </w:r>
      <w:r w:rsidRPr="006402DA">
        <w:rPr>
          <w:rFonts w:ascii="Arial" w:hAnsi="Arial" w:cs="Arial"/>
          <w:color w:val="auto"/>
          <w:sz w:val="22"/>
          <w:szCs w:val="22"/>
        </w:rPr>
        <w:t xml:space="preserve">aumento </w:t>
      </w:r>
      <w:r w:rsidR="00BE05E6">
        <w:rPr>
          <w:rFonts w:ascii="Arial" w:hAnsi="Arial" w:cs="Arial"/>
          <w:color w:val="auto"/>
          <w:sz w:val="22"/>
          <w:szCs w:val="22"/>
        </w:rPr>
        <w:t>(</w:t>
      </w:r>
      <w:r w:rsidRPr="006402DA">
        <w:rPr>
          <w:rFonts w:ascii="Arial" w:hAnsi="Arial" w:cs="Arial"/>
          <w:color w:val="auto"/>
          <w:sz w:val="22"/>
          <w:szCs w:val="22"/>
        </w:rPr>
        <w:t>1,7</w:t>
      </w:r>
      <w:r w:rsidR="005046D5" w:rsidRPr="006402DA">
        <w:rPr>
          <w:rFonts w:ascii="Arial" w:hAnsi="Arial" w:cs="Arial"/>
          <w:color w:val="auto"/>
          <w:sz w:val="22"/>
          <w:szCs w:val="22"/>
        </w:rPr>
        <w:t>%</w:t>
      </w:r>
      <w:r w:rsidR="00BE05E6">
        <w:rPr>
          <w:rFonts w:ascii="Arial" w:hAnsi="Arial" w:cs="Arial"/>
          <w:color w:val="auto"/>
          <w:sz w:val="22"/>
          <w:szCs w:val="22"/>
        </w:rPr>
        <w:t>)</w:t>
      </w:r>
      <w:r w:rsidRPr="006402DA">
        <w:rPr>
          <w:rFonts w:ascii="Arial" w:hAnsi="Arial" w:cs="Arial"/>
          <w:color w:val="auto"/>
          <w:sz w:val="22"/>
          <w:szCs w:val="22"/>
        </w:rPr>
        <w:t>, dall’altro il numero di aziende che ha</w:t>
      </w:r>
      <w:r w:rsidR="00132A04">
        <w:rPr>
          <w:rFonts w:ascii="Arial" w:hAnsi="Arial" w:cs="Arial"/>
          <w:color w:val="auto"/>
          <w:sz w:val="22"/>
          <w:szCs w:val="22"/>
        </w:rPr>
        <w:t>nno</w:t>
      </w:r>
      <w:r w:rsidRPr="006402DA">
        <w:rPr>
          <w:rFonts w:ascii="Arial" w:hAnsi="Arial" w:cs="Arial"/>
          <w:color w:val="auto"/>
          <w:sz w:val="22"/>
          <w:szCs w:val="22"/>
        </w:rPr>
        <w:t xml:space="preserve"> praticato irrigazione si riduce del 20,9</w:t>
      </w:r>
      <w:r w:rsidR="005046D5" w:rsidRPr="006402DA">
        <w:rPr>
          <w:rFonts w:ascii="Arial" w:hAnsi="Arial" w:cs="Arial"/>
          <w:color w:val="auto"/>
          <w:sz w:val="22"/>
          <w:szCs w:val="22"/>
        </w:rPr>
        <w:t>%</w:t>
      </w:r>
      <w:r w:rsidR="00BB35B4" w:rsidRPr="006402DA">
        <w:rPr>
          <w:rFonts w:ascii="Arial" w:hAnsi="Arial" w:cs="Arial"/>
          <w:color w:val="auto"/>
          <w:sz w:val="22"/>
          <w:szCs w:val="22"/>
        </w:rPr>
        <w:t>. P</w:t>
      </w:r>
      <w:r w:rsidRPr="006402DA">
        <w:rPr>
          <w:rFonts w:ascii="Arial" w:hAnsi="Arial" w:cs="Arial"/>
          <w:color w:val="auto"/>
          <w:sz w:val="22"/>
          <w:szCs w:val="22"/>
        </w:rPr>
        <w:t xml:space="preserve">robabilmente </w:t>
      </w:r>
      <w:r w:rsidR="00BB35B4" w:rsidRPr="006402DA">
        <w:rPr>
          <w:rFonts w:ascii="Arial" w:hAnsi="Arial" w:cs="Arial"/>
          <w:color w:val="auto"/>
          <w:sz w:val="22"/>
          <w:szCs w:val="22"/>
        </w:rPr>
        <w:t xml:space="preserve">la </w:t>
      </w:r>
      <w:r w:rsidRPr="006402DA">
        <w:rPr>
          <w:rFonts w:ascii="Arial" w:hAnsi="Arial" w:cs="Arial"/>
          <w:color w:val="auto"/>
          <w:sz w:val="22"/>
          <w:szCs w:val="22"/>
        </w:rPr>
        <w:t xml:space="preserve">causa </w:t>
      </w:r>
      <w:r w:rsidR="00BB35B4" w:rsidRPr="006402DA">
        <w:rPr>
          <w:rFonts w:ascii="Arial" w:hAnsi="Arial" w:cs="Arial"/>
          <w:color w:val="auto"/>
          <w:sz w:val="22"/>
          <w:szCs w:val="22"/>
        </w:rPr>
        <w:t xml:space="preserve">è da </w:t>
      </w:r>
      <w:r w:rsidR="00A452AC" w:rsidRPr="006402DA">
        <w:rPr>
          <w:rFonts w:ascii="Arial" w:hAnsi="Arial" w:cs="Arial"/>
          <w:color w:val="auto"/>
          <w:sz w:val="22"/>
          <w:szCs w:val="22"/>
        </w:rPr>
        <w:t>attribuir</w:t>
      </w:r>
      <w:r w:rsidR="00A452AC">
        <w:rPr>
          <w:rFonts w:ascii="Arial" w:hAnsi="Arial" w:cs="Arial"/>
          <w:color w:val="auto"/>
          <w:sz w:val="22"/>
          <w:szCs w:val="22"/>
        </w:rPr>
        <w:t>e</w:t>
      </w:r>
      <w:r w:rsidR="00A452AC" w:rsidRPr="006402DA">
        <w:rPr>
          <w:rFonts w:ascii="Arial" w:hAnsi="Arial" w:cs="Arial"/>
          <w:color w:val="auto"/>
          <w:sz w:val="22"/>
          <w:szCs w:val="22"/>
        </w:rPr>
        <w:t xml:space="preserve"> </w:t>
      </w:r>
      <w:r w:rsidR="00BB35B4" w:rsidRPr="006402DA">
        <w:rPr>
          <w:rFonts w:ascii="Arial" w:hAnsi="Arial" w:cs="Arial"/>
          <w:color w:val="auto"/>
          <w:sz w:val="22"/>
          <w:szCs w:val="22"/>
        </w:rPr>
        <w:t>a</w:t>
      </w:r>
      <w:r w:rsidRPr="006402DA">
        <w:rPr>
          <w:rFonts w:ascii="Arial" w:hAnsi="Arial" w:cs="Arial"/>
          <w:color w:val="auto"/>
          <w:sz w:val="22"/>
          <w:szCs w:val="22"/>
        </w:rPr>
        <w:t>ll’aumento della dimensione media aziendale.</w:t>
      </w:r>
    </w:p>
    <w:p w14:paraId="74B0D31F" w14:textId="6EAC4E14" w:rsidR="004B77FA" w:rsidRDefault="004B77FA">
      <w:pPr>
        <w:spacing w:after="120"/>
        <w:jc w:val="both"/>
        <w:rPr>
          <w:rFonts w:ascii="Arial" w:hAnsi="Arial" w:cs="Arial"/>
          <w:sz w:val="22"/>
          <w:szCs w:val="22"/>
        </w:rPr>
      </w:pPr>
      <w:r w:rsidRPr="006402DA">
        <w:rPr>
          <w:rFonts w:ascii="Arial" w:hAnsi="Arial" w:cs="Arial"/>
          <w:sz w:val="22"/>
          <w:szCs w:val="22"/>
        </w:rPr>
        <w:t>Nel complesso la tendenza all’utilizzo delle potenzialità irrigue, misurata, invece, dal rapporto percentuale tra la superficie irrigata e la superficie irrigabile, è pari al 61,9</w:t>
      </w:r>
      <w:r w:rsidR="005046D5" w:rsidRPr="00427FDB">
        <w:rPr>
          <w:rFonts w:ascii="Arial" w:hAnsi="Arial" w:cs="Arial"/>
          <w:sz w:val="22"/>
          <w:szCs w:val="22"/>
        </w:rPr>
        <w:t>%</w:t>
      </w:r>
      <w:r w:rsidRPr="00427FDB">
        <w:rPr>
          <w:rFonts w:ascii="Arial" w:hAnsi="Arial" w:cs="Arial"/>
          <w:sz w:val="22"/>
          <w:szCs w:val="22"/>
        </w:rPr>
        <w:t xml:space="preserve">. La propensione all’irrigazione, </w:t>
      </w:r>
      <w:r w:rsidR="008E0C1C" w:rsidRPr="00427FDB">
        <w:rPr>
          <w:rFonts w:ascii="Arial" w:hAnsi="Arial" w:cs="Arial"/>
          <w:sz w:val="22"/>
          <w:szCs w:val="22"/>
        </w:rPr>
        <w:t>valuta</w:t>
      </w:r>
      <w:r w:rsidR="008E0C1C">
        <w:rPr>
          <w:rFonts w:ascii="Arial" w:hAnsi="Arial" w:cs="Arial"/>
          <w:sz w:val="22"/>
          <w:szCs w:val="22"/>
        </w:rPr>
        <w:t>ta</w:t>
      </w:r>
      <w:r w:rsidR="008E0C1C" w:rsidRPr="00427FDB">
        <w:rPr>
          <w:rFonts w:ascii="Arial" w:hAnsi="Arial" w:cs="Arial"/>
          <w:sz w:val="22"/>
          <w:szCs w:val="22"/>
        </w:rPr>
        <w:t xml:space="preserve"> </w:t>
      </w:r>
      <w:r w:rsidRPr="00427FDB">
        <w:rPr>
          <w:rFonts w:ascii="Arial" w:hAnsi="Arial" w:cs="Arial"/>
          <w:sz w:val="22"/>
          <w:szCs w:val="22"/>
        </w:rPr>
        <w:t>rapportando la superficie irrigata al totale della superficie agricola utilizzata (Sau), è pari al 20,3</w:t>
      </w:r>
      <w:r w:rsidR="005046D5" w:rsidRPr="006402DA">
        <w:rPr>
          <w:rFonts w:ascii="Arial" w:hAnsi="Arial" w:cs="Arial"/>
          <w:sz w:val="22"/>
          <w:szCs w:val="22"/>
        </w:rPr>
        <w:t>%</w:t>
      </w:r>
      <w:r w:rsidRPr="006402DA">
        <w:rPr>
          <w:rFonts w:ascii="Arial" w:hAnsi="Arial" w:cs="Arial"/>
          <w:sz w:val="22"/>
          <w:szCs w:val="22"/>
        </w:rPr>
        <w:t xml:space="preserve"> nel 2016.</w:t>
      </w:r>
    </w:p>
    <w:p w14:paraId="3EA03550" w14:textId="77777777" w:rsidR="00125DBF" w:rsidRPr="00132A04" w:rsidRDefault="00125DBF" w:rsidP="00457473">
      <w:pPr>
        <w:autoSpaceDE w:val="0"/>
        <w:autoSpaceDN w:val="0"/>
        <w:adjustRightInd w:val="0"/>
        <w:spacing w:after="120"/>
        <w:jc w:val="both"/>
        <w:rPr>
          <w:rFonts w:ascii="Arial" w:hAnsi="Arial" w:cs="Arial"/>
          <w:b/>
          <w:color w:val="1F497D" w:themeColor="text2"/>
          <w:sz w:val="14"/>
          <w:szCs w:val="20"/>
        </w:rPr>
      </w:pPr>
    </w:p>
    <w:p w14:paraId="232A0B04" w14:textId="77777777" w:rsidR="00FA4DDD" w:rsidRPr="00427FDB" w:rsidRDefault="004367E2">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P</w:t>
      </w:r>
      <w:r w:rsidR="003F3786" w:rsidRPr="00427FDB">
        <w:rPr>
          <w:rFonts w:ascii="Arial" w:hAnsi="Arial" w:cs="Arial"/>
          <w:b/>
          <w:color w:val="1F497D" w:themeColor="text2"/>
          <w:sz w:val="26"/>
          <w:szCs w:val="26"/>
        </w:rPr>
        <w:t>ropensione all’irrigazione più alta fra i paesi mediterranei</w:t>
      </w:r>
      <w:r>
        <w:rPr>
          <w:rFonts w:ascii="Arial" w:hAnsi="Arial" w:cs="Arial"/>
          <w:b/>
          <w:color w:val="1F497D" w:themeColor="text2"/>
          <w:sz w:val="26"/>
          <w:szCs w:val="26"/>
        </w:rPr>
        <w:t xml:space="preserve"> dell’Ue</w:t>
      </w:r>
    </w:p>
    <w:p w14:paraId="1EF560D6" w14:textId="4DB2635E" w:rsidR="004B77FA" w:rsidRPr="00123063" w:rsidRDefault="004B77FA">
      <w:pPr>
        <w:spacing w:after="120"/>
        <w:jc w:val="both"/>
        <w:rPr>
          <w:rFonts w:ascii="Arial" w:hAnsi="Arial" w:cs="Arial"/>
          <w:sz w:val="22"/>
          <w:szCs w:val="22"/>
        </w:rPr>
      </w:pPr>
      <w:r w:rsidRPr="00123063">
        <w:rPr>
          <w:rFonts w:ascii="Arial" w:hAnsi="Arial" w:cs="Arial"/>
          <w:sz w:val="22"/>
          <w:szCs w:val="22"/>
        </w:rPr>
        <w:t>A livello europeo, la diffusione e l'importanza delle pratiche irrigue sono significativamente maggiori negli Stati membri meridionali, in particolare dell’area mediterranea</w:t>
      </w:r>
      <w:r w:rsidR="003F3786">
        <w:rPr>
          <w:rFonts w:ascii="Arial" w:hAnsi="Arial" w:cs="Arial"/>
          <w:sz w:val="22"/>
          <w:szCs w:val="22"/>
        </w:rPr>
        <w:t>.</w:t>
      </w:r>
    </w:p>
    <w:p w14:paraId="38CB483D" w14:textId="623860FD" w:rsidR="00EE5D33" w:rsidRPr="00257F7D" w:rsidRDefault="007A5DC2" w:rsidP="00EE5D33">
      <w:pPr>
        <w:pStyle w:val="Default"/>
        <w:spacing w:after="120"/>
        <w:jc w:val="both"/>
        <w:rPr>
          <w:rFonts w:ascii="Arial" w:hAnsi="Arial" w:cs="Arial"/>
          <w:color w:val="auto"/>
          <w:sz w:val="22"/>
          <w:szCs w:val="22"/>
        </w:rPr>
      </w:pPr>
      <w:r w:rsidRPr="00257F7D">
        <w:rPr>
          <w:rFonts w:ascii="Arial" w:hAnsi="Arial" w:cs="Arial"/>
          <w:color w:val="auto"/>
          <w:sz w:val="22"/>
          <w:szCs w:val="22"/>
        </w:rPr>
        <w:t xml:space="preserve">La propensione all’irrigazione degli </w:t>
      </w:r>
      <w:r w:rsidR="003F3786">
        <w:rPr>
          <w:rFonts w:ascii="Arial" w:hAnsi="Arial" w:cs="Arial"/>
          <w:color w:val="auto"/>
          <w:sz w:val="22"/>
          <w:szCs w:val="22"/>
        </w:rPr>
        <w:t>S</w:t>
      </w:r>
      <w:r w:rsidRPr="00257F7D">
        <w:rPr>
          <w:rFonts w:ascii="Arial" w:hAnsi="Arial" w:cs="Arial"/>
          <w:color w:val="auto"/>
          <w:sz w:val="22"/>
          <w:szCs w:val="22"/>
        </w:rPr>
        <w:t xml:space="preserve">tati dell’Unione </w:t>
      </w:r>
      <w:r>
        <w:rPr>
          <w:rFonts w:ascii="Arial" w:hAnsi="Arial" w:cs="Arial"/>
          <w:color w:val="auto"/>
          <w:sz w:val="22"/>
          <w:szCs w:val="22"/>
        </w:rPr>
        <w:t>e</w:t>
      </w:r>
      <w:r w:rsidRPr="00257F7D">
        <w:rPr>
          <w:rFonts w:ascii="Arial" w:hAnsi="Arial" w:cs="Arial"/>
          <w:color w:val="auto"/>
          <w:sz w:val="22"/>
          <w:szCs w:val="22"/>
        </w:rPr>
        <w:t xml:space="preserve">uropea varia </w:t>
      </w:r>
      <w:r w:rsidR="0078277F">
        <w:rPr>
          <w:rFonts w:ascii="Arial" w:hAnsi="Arial" w:cs="Arial"/>
          <w:color w:val="auto"/>
          <w:sz w:val="22"/>
          <w:szCs w:val="22"/>
        </w:rPr>
        <w:t>n</w:t>
      </w:r>
      <w:r w:rsidR="008E0C1C">
        <w:rPr>
          <w:rFonts w:ascii="Arial" w:hAnsi="Arial" w:cs="Arial"/>
          <w:color w:val="auto"/>
          <w:sz w:val="22"/>
          <w:szCs w:val="22"/>
        </w:rPr>
        <w:t>el 20</w:t>
      </w:r>
      <w:r w:rsidR="0078277F">
        <w:rPr>
          <w:rFonts w:ascii="Arial" w:hAnsi="Arial" w:cs="Arial"/>
          <w:color w:val="auto"/>
          <w:sz w:val="22"/>
          <w:szCs w:val="22"/>
        </w:rPr>
        <w:t>1</w:t>
      </w:r>
      <w:r w:rsidR="008E0C1C">
        <w:rPr>
          <w:rFonts w:ascii="Arial" w:hAnsi="Arial" w:cs="Arial"/>
          <w:color w:val="auto"/>
          <w:sz w:val="22"/>
          <w:szCs w:val="22"/>
        </w:rPr>
        <w:t xml:space="preserve">6 </w:t>
      </w:r>
      <w:r w:rsidRPr="00257F7D">
        <w:rPr>
          <w:rFonts w:ascii="Arial" w:hAnsi="Arial" w:cs="Arial"/>
          <w:color w:val="auto"/>
          <w:sz w:val="22"/>
          <w:szCs w:val="22"/>
        </w:rPr>
        <w:t>da valori prossimi allo zero in alcuni paesi a oltre il 30</w:t>
      </w:r>
      <w:r>
        <w:rPr>
          <w:rFonts w:ascii="Arial" w:hAnsi="Arial" w:cs="Arial"/>
          <w:color w:val="auto"/>
          <w:sz w:val="22"/>
          <w:szCs w:val="22"/>
        </w:rPr>
        <w:t>%</w:t>
      </w:r>
      <w:r w:rsidRPr="00257F7D">
        <w:rPr>
          <w:rFonts w:ascii="Arial" w:hAnsi="Arial" w:cs="Arial"/>
          <w:color w:val="auto"/>
          <w:sz w:val="22"/>
          <w:szCs w:val="22"/>
        </w:rPr>
        <w:t xml:space="preserve"> in altri. Malta (31,4</w:t>
      </w:r>
      <w:r>
        <w:rPr>
          <w:rFonts w:ascii="Arial" w:hAnsi="Arial" w:cs="Arial"/>
          <w:color w:val="auto"/>
          <w:sz w:val="22"/>
          <w:szCs w:val="22"/>
        </w:rPr>
        <w:t>%</w:t>
      </w:r>
      <w:r w:rsidRPr="00257F7D">
        <w:rPr>
          <w:rFonts w:ascii="Arial" w:hAnsi="Arial" w:cs="Arial"/>
          <w:color w:val="auto"/>
          <w:sz w:val="22"/>
          <w:szCs w:val="22"/>
        </w:rPr>
        <w:t>), Grecia (23,6</w:t>
      </w:r>
      <w:r>
        <w:rPr>
          <w:rFonts w:ascii="Arial" w:hAnsi="Arial" w:cs="Arial"/>
          <w:color w:val="auto"/>
          <w:sz w:val="22"/>
          <w:szCs w:val="22"/>
        </w:rPr>
        <w:t>%</w:t>
      </w:r>
      <w:r w:rsidRPr="00257F7D">
        <w:rPr>
          <w:rFonts w:ascii="Arial" w:hAnsi="Arial" w:cs="Arial"/>
          <w:color w:val="auto"/>
          <w:sz w:val="22"/>
          <w:szCs w:val="22"/>
        </w:rPr>
        <w:t>), Cipro (21,0</w:t>
      </w:r>
      <w:r>
        <w:rPr>
          <w:rFonts w:ascii="Arial" w:hAnsi="Arial" w:cs="Arial"/>
          <w:color w:val="auto"/>
          <w:sz w:val="22"/>
          <w:szCs w:val="22"/>
        </w:rPr>
        <w:t>%</w:t>
      </w:r>
      <w:r w:rsidRPr="00257F7D">
        <w:rPr>
          <w:rFonts w:ascii="Arial" w:hAnsi="Arial" w:cs="Arial"/>
          <w:color w:val="auto"/>
          <w:sz w:val="22"/>
          <w:szCs w:val="22"/>
        </w:rPr>
        <w:t>) e Italia (20,</w:t>
      </w:r>
      <w:r w:rsidR="00654C67">
        <w:rPr>
          <w:rFonts w:ascii="Arial" w:hAnsi="Arial" w:cs="Arial"/>
          <w:color w:val="auto"/>
          <w:sz w:val="22"/>
          <w:szCs w:val="22"/>
        </w:rPr>
        <w:t>3</w:t>
      </w:r>
      <w:r>
        <w:rPr>
          <w:rFonts w:ascii="Arial" w:hAnsi="Arial" w:cs="Arial"/>
          <w:color w:val="auto"/>
          <w:sz w:val="22"/>
          <w:szCs w:val="22"/>
        </w:rPr>
        <w:t>%</w:t>
      </w:r>
      <w:r w:rsidRPr="00257F7D">
        <w:rPr>
          <w:rFonts w:ascii="Arial" w:hAnsi="Arial" w:cs="Arial"/>
          <w:color w:val="auto"/>
          <w:sz w:val="22"/>
          <w:szCs w:val="22"/>
        </w:rPr>
        <w:t xml:space="preserve">) sono i </w:t>
      </w:r>
      <w:r w:rsidR="004367E2">
        <w:rPr>
          <w:rFonts w:ascii="Arial" w:hAnsi="Arial" w:cs="Arial"/>
          <w:color w:val="auto"/>
          <w:sz w:val="22"/>
          <w:szCs w:val="22"/>
        </w:rPr>
        <w:t>P</w:t>
      </w:r>
      <w:r w:rsidRPr="00257F7D">
        <w:rPr>
          <w:rFonts w:ascii="Arial" w:hAnsi="Arial" w:cs="Arial"/>
          <w:color w:val="auto"/>
          <w:sz w:val="22"/>
          <w:szCs w:val="22"/>
        </w:rPr>
        <w:t>aesi che presentano i valori più alti</w:t>
      </w:r>
      <w:r w:rsidR="008E0C1C">
        <w:rPr>
          <w:rFonts w:ascii="Arial" w:hAnsi="Arial" w:cs="Arial"/>
          <w:color w:val="auto"/>
          <w:sz w:val="22"/>
          <w:szCs w:val="22"/>
        </w:rPr>
        <w:t>; q</w:t>
      </w:r>
      <w:r w:rsidRPr="00257F7D">
        <w:rPr>
          <w:rFonts w:ascii="Arial" w:hAnsi="Arial" w:cs="Arial"/>
          <w:color w:val="auto"/>
          <w:sz w:val="22"/>
          <w:szCs w:val="22"/>
        </w:rPr>
        <w:t>ui, infatti, più del 20</w:t>
      </w:r>
      <w:r>
        <w:rPr>
          <w:rFonts w:ascii="Arial" w:hAnsi="Arial" w:cs="Arial"/>
          <w:color w:val="auto"/>
          <w:sz w:val="22"/>
          <w:szCs w:val="22"/>
        </w:rPr>
        <w:t>%</w:t>
      </w:r>
      <w:r w:rsidRPr="00257F7D">
        <w:rPr>
          <w:rFonts w:ascii="Arial" w:hAnsi="Arial" w:cs="Arial"/>
          <w:color w:val="auto"/>
          <w:sz w:val="22"/>
          <w:szCs w:val="22"/>
        </w:rPr>
        <w:t xml:space="preserve"> della superficie agricola utilizzata viene sottoposta a irrigazione. </w:t>
      </w:r>
      <w:r w:rsidR="003F3786">
        <w:rPr>
          <w:rFonts w:ascii="Arial" w:hAnsi="Arial" w:cs="Arial"/>
          <w:color w:val="auto"/>
          <w:sz w:val="22"/>
          <w:szCs w:val="22"/>
        </w:rPr>
        <w:t>L</w:t>
      </w:r>
      <w:r w:rsidRPr="00257F7D">
        <w:rPr>
          <w:rFonts w:ascii="Arial" w:hAnsi="Arial" w:cs="Arial"/>
          <w:color w:val="auto"/>
          <w:sz w:val="22"/>
          <w:szCs w:val="22"/>
        </w:rPr>
        <w:t>’irrigazione si presenta del tutto marginale, con percentuali uguali o inferiori allo 0,7</w:t>
      </w:r>
      <w:r>
        <w:rPr>
          <w:rFonts w:ascii="Arial" w:hAnsi="Arial" w:cs="Arial"/>
          <w:color w:val="auto"/>
          <w:sz w:val="22"/>
          <w:szCs w:val="22"/>
        </w:rPr>
        <w:t>%</w:t>
      </w:r>
      <w:r w:rsidRPr="00257F7D">
        <w:rPr>
          <w:rFonts w:ascii="Arial" w:hAnsi="Arial" w:cs="Arial"/>
          <w:color w:val="auto"/>
          <w:sz w:val="22"/>
          <w:szCs w:val="22"/>
        </w:rPr>
        <w:t xml:space="preserve">, </w:t>
      </w:r>
      <w:r w:rsidR="006D33AF">
        <w:rPr>
          <w:rFonts w:ascii="Arial" w:hAnsi="Arial" w:cs="Arial"/>
          <w:color w:val="auto"/>
          <w:sz w:val="22"/>
          <w:szCs w:val="22"/>
        </w:rPr>
        <w:t>negli altri paes</w:t>
      </w:r>
      <w:r w:rsidR="00132A04">
        <w:rPr>
          <w:rFonts w:ascii="Arial" w:hAnsi="Arial" w:cs="Arial"/>
          <w:color w:val="auto"/>
          <w:sz w:val="22"/>
          <w:szCs w:val="22"/>
        </w:rPr>
        <w:t>i</w:t>
      </w:r>
      <w:r w:rsidR="006D33AF">
        <w:rPr>
          <w:rFonts w:ascii="Arial" w:hAnsi="Arial" w:cs="Arial"/>
          <w:color w:val="auto"/>
          <w:sz w:val="22"/>
          <w:szCs w:val="22"/>
        </w:rPr>
        <w:t xml:space="preserve"> Ue</w:t>
      </w:r>
      <w:r w:rsidRPr="00510790">
        <w:rPr>
          <w:rFonts w:ascii="Arial" w:hAnsi="Arial" w:cs="Arial"/>
          <w:color w:val="auto"/>
          <w:sz w:val="22"/>
          <w:szCs w:val="22"/>
        </w:rPr>
        <w:t xml:space="preserve"> (Figura </w:t>
      </w:r>
      <w:r w:rsidR="00510790" w:rsidRPr="00427FDB">
        <w:rPr>
          <w:rFonts w:ascii="Arial" w:hAnsi="Arial" w:cs="Arial"/>
          <w:color w:val="auto"/>
          <w:sz w:val="22"/>
          <w:szCs w:val="22"/>
        </w:rPr>
        <w:t>4</w:t>
      </w:r>
      <w:r w:rsidRPr="00510790">
        <w:rPr>
          <w:rFonts w:ascii="Arial" w:hAnsi="Arial" w:cs="Arial"/>
          <w:color w:val="auto"/>
          <w:sz w:val="22"/>
          <w:szCs w:val="22"/>
        </w:rPr>
        <w:t>)</w:t>
      </w:r>
      <w:r w:rsidR="00FD3D4A">
        <w:rPr>
          <w:rFonts w:ascii="Arial" w:hAnsi="Arial" w:cs="Arial"/>
          <w:color w:val="auto"/>
          <w:sz w:val="22"/>
          <w:szCs w:val="22"/>
        </w:rPr>
        <w:t xml:space="preserve">. </w:t>
      </w:r>
      <w:r w:rsidR="00EE5D33">
        <w:rPr>
          <w:rFonts w:ascii="Arial" w:hAnsi="Arial" w:cs="Arial"/>
          <w:color w:val="auto"/>
          <w:sz w:val="22"/>
          <w:szCs w:val="22"/>
        </w:rPr>
        <w:t xml:space="preserve">Sul territorio nazionale, la maggiore superficie irrigata </w:t>
      </w:r>
      <w:r w:rsidR="008E0C1C">
        <w:rPr>
          <w:rFonts w:ascii="Arial" w:hAnsi="Arial" w:cs="Arial"/>
          <w:color w:val="auto"/>
          <w:sz w:val="22"/>
          <w:szCs w:val="22"/>
        </w:rPr>
        <w:t>è</w:t>
      </w:r>
      <w:r w:rsidR="00EE5D33">
        <w:rPr>
          <w:rFonts w:ascii="Arial" w:hAnsi="Arial" w:cs="Arial"/>
          <w:color w:val="auto"/>
          <w:sz w:val="22"/>
          <w:szCs w:val="22"/>
        </w:rPr>
        <w:t xml:space="preserve"> in </w:t>
      </w:r>
      <w:r w:rsidR="00EE5D33" w:rsidRPr="00B64AFB">
        <w:rPr>
          <w:rFonts w:ascii="Arial" w:hAnsi="Arial" w:cs="Arial"/>
          <w:color w:val="auto"/>
          <w:sz w:val="22"/>
          <w:szCs w:val="22"/>
        </w:rPr>
        <w:t xml:space="preserve">Lombardia </w:t>
      </w:r>
      <w:r w:rsidR="00EE5D33">
        <w:rPr>
          <w:rFonts w:ascii="Arial" w:hAnsi="Arial" w:cs="Arial"/>
          <w:color w:val="auto"/>
          <w:sz w:val="22"/>
          <w:szCs w:val="22"/>
        </w:rPr>
        <w:t>(</w:t>
      </w:r>
      <w:r w:rsidR="00EE5D33" w:rsidRPr="00B64AFB">
        <w:rPr>
          <w:rFonts w:ascii="Arial" w:hAnsi="Arial" w:cs="Arial"/>
          <w:color w:val="auto"/>
          <w:sz w:val="22"/>
          <w:szCs w:val="22"/>
        </w:rPr>
        <w:t>20,0%</w:t>
      </w:r>
      <w:r w:rsidR="00EE5D33">
        <w:rPr>
          <w:rFonts w:ascii="Arial" w:hAnsi="Arial" w:cs="Arial"/>
          <w:color w:val="auto"/>
          <w:sz w:val="22"/>
          <w:szCs w:val="22"/>
        </w:rPr>
        <w:t>)</w:t>
      </w:r>
      <w:r w:rsidR="008E0C1C">
        <w:rPr>
          <w:rFonts w:ascii="Arial" w:hAnsi="Arial" w:cs="Arial"/>
          <w:color w:val="auto"/>
          <w:sz w:val="22"/>
          <w:szCs w:val="22"/>
        </w:rPr>
        <w:t>,</w:t>
      </w:r>
      <w:r w:rsidR="00EE5D33" w:rsidRPr="00257F7D">
        <w:rPr>
          <w:rFonts w:ascii="Arial" w:hAnsi="Arial" w:cs="Arial"/>
          <w:color w:val="auto"/>
          <w:sz w:val="22"/>
          <w:szCs w:val="22"/>
        </w:rPr>
        <w:t xml:space="preserve"> segu</w:t>
      </w:r>
      <w:r w:rsidR="008E0C1C">
        <w:rPr>
          <w:rFonts w:ascii="Arial" w:hAnsi="Arial" w:cs="Arial"/>
          <w:color w:val="auto"/>
          <w:sz w:val="22"/>
          <w:szCs w:val="22"/>
        </w:rPr>
        <w:t xml:space="preserve">ita da </w:t>
      </w:r>
      <w:r w:rsidR="00EE5D33" w:rsidRPr="00257F7D">
        <w:rPr>
          <w:rFonts w:ascii="Arial" w:hAnsi="Arial" w:cs="Arial"/>
          <w:color w:val="auto"/>
          <w:sz w:val="22"/>
          <w:szCs w:val="22"/>
        </w:rPr>
        <w:t>Piemonte (14,0</w:t>
      </w:r>
      <w:r w:rsidR="00EE5D33">
        <w:rPr>
          <w:rFonts w:ascii="Arial" w:hAnsi="Arial" w:cs="Arial"/>
          <w:color w:val="auto"/>
          <w:sz w:val="22"/>
          <w:szCs w:val="22"/>
        </w:rPr>
        <w:t>%</w:t>
      </w:r>
      <w:r w:rsidR="00EE5D33" w:rsidRPr="00257F7D">
        <w:rPr>
          <w:rFonts w:ascii="Arial" w:hAnsi="Arial" w:cs="Arial"/>
          <w:color w:val="auto"/>
          <w:sz w:val="22"/>
          <w:szCs w:val="22"/>
        </w:rPr>
        <w:t>) e Veneto (12,9</w:t>
      </w:r>
      <w:r w:rsidR="00EE5D33">
        <w:rPr>
          <w:rFonts w:ascii="Arial" w:hAnsi="Arial" w:cs="Arial"/>
          <w:color w:val="auto"/>
          <w:sz w:val="22"/>
          <w:szCs w:val="22"/>
        </w:rPr>
        <w:t>%</w:t>
      </w:r>
      <w:r w:rsidR="00EE5D33" w:rsidRPr="00257F7D">
        <w:rPr>
          <w:rFonts w:ascii="Arial" w:hAnsi="Arial" w:cs="Arial"/>
          <w:color w:val="auto"/>
          <w:sz w:val="22"/>
          <w:szCs w:val="22"/>
        </w:rPr>
        <w:t>).</w:t>
      </w:r>
    </w:p>
    <w:p w14:paraId="1B7C5B8D" w14:textId="77777777" w:rsidR="00343686" w:rsidRPr="00132A04" w:rsidRDefault="00343686" w:rsidP="0058126E">
      <w:pPr>
        <w:tabs>
          <w:tab w:val="left" w:pos="900"/>
        </w:tabs>
        <w:spacing w:after="120"/>
        <w:jc w:val="both"/>
        <w:rPr>
          <w:rFonts w:ascii="Arial" w:hAnsi="Arial" w:cs="Arial"/>
          <w:b/>
          <w:color w:val="1F497D" w:themeColor="text2"/>
          <w:sz w:val="32"/>
          <w:szCs w:val="22"/>
        </w:rPr>
      </w:pPr>
    </w:p>
    <w:p w14:paraId="3DBC3D95" w14:textId="09C30CFA" w:rsidR="00510790" w:rsidRDefault="00510790" w:rsidP="00EE5D33">
      <w:pPr>
        <w:pStyle w:val="ATitoloTavolaFigura"/>
        <w:keepNext/>
        <w:spacing w:before="0" w:after="0"/>
        <w:ind w:left="0" w:firstLine="0"/>
        <w:rPr>
          <w:rFonts w:ascii="Arial Narrow" w:hAnsi="Arial Narrow"/>
          <w:iCs/>
          <w:noProof/>
          <w:color w:val="1F497D" w:themeColor="text2"/>
          <w:sz w:val="22"/>
          <w:szCs w:val="22"/>
        </w:rPr>
      </w:pPr>
      <w:r w:rsidRPr="00AF725F">
        <w:rPr>
          <w:rFonts w:ascii="Arial Black" w:hAnsi="Arial Black"/>
          <w:iCs/>
          <w:noProof/>
          <w:color w:val="1F497D" w:themeColor="text2"/>
          <w:sz w:val="22"/>
          <w:szCs w:val="22"/>
        </w:rPr>
        <w:t xml:space="preserve">FIGURA </w:t>
      </w:r>
      <w:r>
        <w:rPr>
          <w:rFonts w:ascii="Arial Black" w:hAnsi="Arial Black"/>
          <w:iCs/>
          <w:noProof/>
          <w:color w:val="1F497D" w:themeColor="text2"/>
          <w:sz w:val="22"/>
          <w:szCs w:val="22"/>
        </w:rPr>
        <w:t>4</w:t>
      </w:r>
      <w:r w:rsidRPr="00AF725F">
        <w:rPr>
          <w:rFonts w:ascii="Arial Black" w:hAnsi="Arial Black"/>
          <w:iCs/>
          <w:noProof/>
          <w:color w:val="1F497D" w:themeColor="text2"/>
          <w:sz w:val="22"/>
          <w:szCs w:val="22"/>
        </w:rPr>
        <w:t>.</w:t>
      </w:r>
      <w:r>
        <w:rPr>
          <w:rFonts w:ascii="Arial Black" w:hAnsi="Arial Black"/>
          <w:iCs/>
          <w:noProof/>
          <w:color w:val="1F497D" w:themeColor="text2"/>
          <w:sz w:val="22"/>
          <w:szCs w:val="22"/>
        </w:rPr>
        <w:t xml:space="preserve"> </w:t>
      </w:r>
      <w:r w:rsidRPr="00E67908">
        <w:rPr>
          <w:rFonts w:ascii="Arial Narrow" w:hAnsi="Arial Narrow"/>
          <w:iCs/>
          <w:noProof/>
          <w:color w:val="1F497D" w:themeColor="text2"/>
          <w:sz w:val="22"/>
          <w:szCs w:val="22"/>
        </w:rPr>
        <w:t>SUPERFICIE IRRIGATA NEI PAESI DELL’UNIONE EUROPEA A 28</w:t>
      </w:r>
      <w:r w:rsidRPr="006F67CF">
        <w:rPr>
          <w:rFonts w:ascii="Arial Narrow" w:hAnsi="Arial Narrow"/>
          <w:iCs/>
          <w:noProof/>
          <w:color w:val="1F497D" w:themeColor="text2"/>
          <w:sz w:val="22"/>
          <w:szCs w:val="22"/>
        </w:rPr>
        <w:t xml:space="preserve"> </w:t>
      </w:r>
    </w:p>
    <w:p w14:paraId="79934F79" w14:textId="6F5FAC31" w:rsidR="00510790" w:rsidRDefault="00510790" w:rsidP="00B605E0">
      <w:pPr>
        <w:pStyle w:val="ATitoloTavolaFigura"/>
        <w:keepNext/>
        <w:spacing w:before="0" w:after="0"/>
        <w:rPr>
          <w:rFonts w:ascii="Arial Narrow" w:hAnsi="Arial Narrow"/>
          <w:b w:val="0"/>
          <w:iCs/>
          <w:noProof/>
          <w:color w:val="1F497D" w:themeColor="text2"/>
          <w:sz w:val="22"/>
          <w:szCs w:val="22"/>
        </w:rPr>
      </w:pPr>
      <w:r w:rsidRPr="002460BD">
        <w:rPr>
          <w:rFonts w:ascii="Arial Narrow" w:hAnsi="Arial Narrow"/>
          <w:b w:val="0"/>
          <w:iCs/>
          <w:noProof/>
          <w:color w:val="1F497D" w:themeColor="text2"/>
          <w:sz w:val="22"/>
          <w:szCs w:val="22"/>
        </w:rPr>
        <w:t>Anno 201</w:t>
      </w:r>
      <w:r>
        <w:rPr>
          <w:rFonts w:ascii="Arial Narrow" w:hAnsi="Arial Narrow"/>
          <w:b w:val="0"/>
          <w:iCs/>
          <w:noProof/>
          <w:color w:val="1F497D" w:themeColor="text2"/>
          <w:sz w:val="22"/>
          <w:szCs w:val="22"/>
        </w:rPr>
        <w:t>6</w:t>
      </w:r>
      <w:r w:rsidRPr="002460BD">
        <w:rPr>
          <w:rFonts w:ascii="Arial Narrow" w:hAnsi="Arial Narrow"/>
          <w:b w:val="0"/>
          <w:iCs/>
          <w:noProof/>
          <w:color w:val="1F497D" w:themeColor="text2"/>
          <w:sz w:val="22"/>
          <w:szCs w:val="22"/>
        </w:rPr>
        <w:t xml:space="preserve"> o ultimo dato disponibile</w:t>
      </w:r>
      <w:r>
        <w:rPr>
          <w:rFonts w:ascii="Arial Narrow" w:hAnsi="Arial Narrow"/>
          <w:b w:val="0"/>
          <w:iCs/>
          <w:noProof/>
          <w:color w:val="1F497D" w:themeColor="text2"/>
          <w:sz w:val="22"/>
          <w:szCs w:val="22"/>
        </w:rPr>
        <w:t>,</w:t>
      </w:r>
      <w:r w:rsidRPr="002460BD">
        <w:rPr>
          <w:rFonts w:ascii="Arial Narrow" w:hAnsi="Arial Narrow"/>
          <w:b w:val="0"/>
          <w:iCs/>
          <w:noProof/>
          <w:color w:val="1F497D" w:themeColor="text2"/>
          <w:sz w:val="22"/>
          <w:szCs w:val="22"/>
        </w:rPr>
        <w:t xml:space="preserve"> valori percentuali sul totale della superficie agricola utilizzata</w:t>
      </w:r>
    </w:p>
    <w:p w14:paraId="480C158C" w14:textId="7E9063A6" w:rsidR="00343686" w:rsidRPr="00132A04" w:rsidRDefault="00343686" w:rsidP="0058126E">
      <w:pPr>
        <w:jc w:val="both"/>
        <w:rPr>
          <w:rFonts w:ascii="Arial" w:hAnsi="Arial"/>
          <w:b/>
          <w:noProof/>
          <w:color w:val="000000"/>
          <w:sz w:val="32"/>
          <w:szCs w:val="22"/>
        </w:rPr>
      </w:pPr>
      <w:r w:rsidRPr="00132A04">
        <w:rPr>
          <w:rFonts w:ascii="Arial" w:hAnsi="Arial"/>
          <w:b/>
          <w:noProof/>
          <w:color w:val="000000"/>
          <w:sz w:val="32"/>
          <w:szCs w:val="22"/>
        </w:rPr>
        <mc:AlternateContent>
          <mc:Choice Requires="wps">
            <w:drawing>
              <wp:anchor distT="0" distB="0" distL="114300" distR="114300" simplePos="0" relativeHeight="251659264" behindDoc="0" locked="0" layoutInCell="1" allowOverlap="1" wp14:anchorId="2E93FFBB" wp14:editId="0B844ABD">
                <wp:simplePos x="0" y="0"/>
                <wp:positionH relativeFrom="column">
                  <wp:posOffset>2591</wp:posOffset>
                </wp:positionH>
                <wp:positionV relativeFrom="paragraph">
                  <wp:posOffset>72923</wp:posOffset>
                </wp:positionV>
                <wp:extent cx="320040" cy="215900"/>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5900"/>
                        </a:xfrm>
                        <a:prstGeom prst="rect">
                          <a:avLst/>
                        </a:prstGeom>
                        <a:noFill/>
                        <a:ln w="9525">
                          <a:noFill/>
                          <a:miter lim="800000"/>
                          <a:headEnd/>
                          <a:tailEnd/>
                        </a:ln>
                      </wps:spPr>
                      <wps:txbx>
                        <w:txbxContent>
                          <w:p w14:paraId="6A415F0C" w14:textId="77777777" w:rsidR="002B21B3" w:rsidRPr="00427FDB" w:rsidRDefault="002B21B3" w:rsidP="002B21B3">
                            <w:pPr>
                              <w:rPr>
                                <w:rFonts w:ascii="Arial Narrow" w:hAnsi="Arial Narrow"/>
                                <w:sz w:val="18"/>
                                <w:szCs w:val="18"/>
                              </w:rPr>
                            </w:pPr>
                            <w:r w:rsidRPr="00427FDB">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pt;margin-top:5.75pt;width:25.2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" filled="f" stroked="f">
                <v:textbox>
                  <w:txbxContent>
                    <w:p w14:paraId="6A415F0C" w14:textId="77777777" w:rsidR="002B21B3" w:rsidRPr="00427FDB" w:rsidRDefault="002B21B3" w:rsidP="002B21B3">
                      <w:pPr>
                        <w:rPr>
                          <w:rFonts w:ascii="Arial Narrow" w:hAnsi="Arial Narrow"/>
                          <w:sz w:val="18"/>
                          <w:szCs w:val="18"/>
                        </w:rPr>
                      </w:pPr>
                      <w:r w:rsidRPr="00427FDB">
                        <w:rPr>
                          <w:rFonts w:ascii="Arial Narrow" w:hAnsi="Arial Narrow"/>
                          <w:sz w:val="18"/>
                          <w:szCs w:val="18"/>
                        </w:rPr>
                        <w:t>%</w:t>
                      </w:r>
                    </w:p>
                  </w:txbxContent>
                </v:textbox>
              </v:shape>
            </w:pict>
          </mc:Fallback>
        </mc:AlternateContent>
      </w:r>
    </w:p>
    <w:p w14:paraId="069F0940" w14:textId="044BCBBF" w:rsidR="00E13C9F" w:rsidRPr="00E13C9F" w:rsidRDefault="00166B6E" w:rsidP="00132A04">
      <w:pPr>
        <w:pStyle w:val="Default"/>
        <w:jc w:val="both"/>
        <w:rPr>
          <w:rFonts w:ascii="Arial Narrow" w:hAnsi="Arial Narrow"/>
          <w:sz w:val="10"/>
          <w:szCs w:val="10"/>
        </w:rPr>
      </w:pPr>
      <w:r>
        <w:rPr>
          <w:noProof/>
        </w:rPr>
        <w:drawing>
          <wp:inline distT="0" distB="0" distL="0" distR="0" wp14:anchorId="41E15202" wp14:editId="28F31783">
            <wp:extent cx="6356909" cy="2077517"/>
            <wp:effectExtent l="0" t="0" r="635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76254C" w14:textId="64AAAC42" w:rsidR="00E13C9F" w:rsidRDefault="00510790" w:rsidP="00E13C9F">
      <w:pPr>
        <w:pStyle w:val="Default"/>
        <w:jc w:val="both"/>
        <w:rPr>
          <w:rFonts w:ascii="Arial Narrow" w:hAnsi="Arial Narrow"/>
          <w:sz w:val="15"/>
          <w:szCs w:val="15"/>
        </w:rPr>
      </w:pPr>
      <w:r w:rsidRPr="003D4B1F">
        <w:rPr>
          <w:rFonts w:ascii="Arial Narrow" w:hAnsi="Arial Narrow"/>
          <w:sz w:val="15"/>
          <w:szCs w:val="15"/>
        </w:rPr>
        <w:t>Fonte: Elaborazione Istat su dati Eurostat</w:t>
      </w:r>
      <w:r w:rsidR="00EE5D33">
        <w:rPr>
          <w:rFonts w:ascii="Arial Narrow" w:hAnsi="Arial Narrow"/>
          <w:sz w:val="15"/>
          <w:szCs w:val="15"/>
        </w:rPr>
        <w:t xml:space="preserve">. </w:t>
      </w:r>
    </w:p>
    <w:p w14:paraId="0A54CA0D" w14:textId="045F71BC" w:rsidR="00AD469F" w:rsidRPr="00132A04" w:rsidRDefault="00510790" w:rsidP="00E13C9F">
      <w:pPr>
        <w:pStyle w:val="Default"/>
        <w:jc w:val="both"/>
        <w:rPr>
          <w:rFonts w:ascii="Arial Narrow" w:hAnsi="Arial Narrow"/>
          <w:color w:val="auto"/>
          <w:sz w:val="14"/>
          <w:szCs w:val="14"/>
        </w:rPr>
      </w:pPr>
      <w:r w:rsidRPr="00132A04">
        <w:rPr>
          <w:rFonts w:ascii="Arial Narrow" w:hAnsi="Arial Narrow"/>
          <w:color w:val="auto"/>
          <w:sz w:val="14"/>
          <w:szCs w:val="14"/>
        </w:rPr>
        <w:t>* Il dato del Lussemburgo è riferito al 2007</w:t>
      </w:r>
      <w:r w:rsidR="00AA18E0" w:rsidRPr="00132A04">
        <w:rPr>
          <w:rFonts w:ascii="Arial Narrow" w:hAnsi="Arial Narrow"/>
          <w:color w:val="auto"/>
          <w:sz w:val="14"/>
          <w:szCs w:val="14"/>
        </w:rPr>
        <w:t xml:space="preserve"> e il fenomeno non esiste</w:t>
      </w:r>
      <w:r w:rsidRPr="00132A04">
        <w:rPr>
          <w:rFonts w:ascii="Arial Narrow" w:hAnsi="Arial Narrow"/>
          <w:color w:val="auto"/>
          <w:sz w:val="14"/>
          <w:szCs w:val="14"/>
        </w:rPr>
        <w:t>. Il dato della Bulgaria non è disponibile.</w:t>
      </w:r>
      <w:r w:rsidR="00AD469F" w:rsidRPr="00132A04">
        <w:rPr>
          <w:rFonts w:ascii="Arial Narrow" w:hAnsi="Arial Narrow"/>
          <w:color w:val="auto"/>
          <w:sz w:val="14"/>
          <w:szCs w:val="14"/>
        </w:rPr>
        <w:br w:type="page"/>
      </w:r>
    </w:p>
    <w:p w14:paraId="384AE677" w14:textId="77777777" w:rsidR="004E6685" w:rsidRDefault="004E6685" w:rsidP="004E6685">
      <w:pPr>
        <w:pStyle w:val="Default"/>
        <w:spacing w:after="120"/>
        <w:jc w:val="both"/>
        <w:rPr>
          <w:rFonts w:ascii="Arial" w:hAnsi="Arial" w:cs="Arial"/>
          <w:color w:val="auto"/>
          <w:sz w:val="22"/>
          <w:szCs w:val="22"/>
        </w:rPr>
      </w:pPr>
      <w:r>
        <w:rPr>
          <w:rFonts w:ascii="Arial" w:hAnsi="Arial" w:cs="Arial"/>
          <w:color w:val="auto"/>
          <w:sz w:val="22"/>
          <w:szCs w:val="22"/>
        </w:rPr>
        <w:lastRenderedPageBreak/>
        <w:t>Quanto alla</w:t>
      </w:r>
      <w:r w:rsidRPr="00257F7D">
        <w:rPr>
          <w:rFonts w:ascii="Arial" w:hAnsi="Arial" w:cs="Arial"/>
          <w:color w:val="auto"/>
          <w:sz w:val="22"/>
          <w:szCs w:val="22"/>
        </w:rPr>
        <w:t xml:space="preserve"> propensione regionale all’irrigazione</w:t>
      </w:r>
      <w:r>
        <w:rPr>
          <w:rFonts w:ascii="Arial" w:hAnsi="Arial" w:cs="Arial"/>
          <w:color w:val="auto"/>
          <w:sz w:val="22"/>
          <w:szCs w:val="22"/>
        </w:rPr>
        <w:t>, ancora una volta è la</w:t>
      </w:r>
      <w:r w:rsidRPr="00257F7D">
        <w:rPr>
          <w:rFonts w:ascii="Arial" w:hAnsi="Arial" w:cs="Arial"/>
          <w:color w:val="auto"/>
          <w:sz w:val="22"/>
          <w:szCs w:val="22"/>
        </w:rPr>
        <w:t xml:space="preserve"> Lombardia</w:t>
      </w:r>
      <w:r>
        <w:rPr>
          <w:rFonts w:ascii="Arial" w:hAnsi="Arial" w:cs="Arial"/>
          <w:color w:val="auto"/>
          <w:sz w:val="22"/>
          <w:szCs w:val="22"/>
        </w:rPr>
        <w:t xml:space="preserve"> in testa alla graduatoria</w:t>
      </w:r>
      <w:r w:rsidRPr="00257F7D">
        <w:rPr>
          <w:rFonts w:ascii="Arial" w:hAnsi="Arial" w:cs="Arial"/>
          <w:color w:val="auto"/>
          <w:sz w:val="22"/>
          <w:szCs w:val="22"/>
        </w:rPr>
        <w:t xml:space="preserve">, </w:t>
      </w:r>
      <w:r>
        <w:rPr>
          <w:rFonts w:ascii="Arial" w:hAnsi="Arial" w:cs="Arial"/>
          <w:color w:val="auto"/>
          <w:sz w:val="22"/>
          <w:szCs w:val="22"/>
        </w:rPr>
        <w:t>dove</w:t>
      </w:r>
      <w:r w:rsidRPr="00257F7D">
        <w:rPr>
          <w:rFonts w:ascii="Arial" w:hAnsi="Arial" w:cs="Arial"/>
          <w:color w:val="auto"/>
          <w:sz w:val="22"/>
          <w:szCs w:val="22"/>
        </w:rPr>
        <w:t xml:space="preserve"> il 53,3</w:t>
      </w:r>
      <w:r>
        <w:rPr>
          <w:rFonts w:ascii="Arial" w:hAnsi="Arial" w:cs="Arial"/>
          <w:color w:val="auto"/>
          <w:sz w:val="22"/>
          <w:szCs w:val="22"/>
        </w:rPr>
        <w:t>%</w:t>
      </w:r>
      <w:r w:rsidRPr="00257F7D">
        <w:rPr>
          <w:rFonts w:ascii="Arial" w:hAnsi="Arial" w:cs="Arial"/>
          <w:color w:val="auto"/>
          <w:sz w:val="22"/>
          <w:szCs w:val="22"/>
        </w:rPr>
        <w:t xml:space="preserve"> della Sau </w:t>
      </w:r>
      <w:r>
        <w:rPr>
          <w:rFonts w:ascii="Arial" w:hAnsi="Arial" w:cs="Arial"/>
          <w:color w:val="auto"/>
          <w:sz w:val="22"/>
          <w:szCs w:val="22"/>
        </w:rPr>
        <w:t xml:space="preserve">è </w:t>
      </w:r>
      <w:r w:rsidRPr="00257F7D">
        <w:rPr>
          <w:rFonts w:ascii="Arial" w:hAnsi="Arial" w:cs="Arial"/>
          <w:color w:val="auto"/>
          <w:sz w:val="22"/>
          <w:szCs w:val="22"/>
        </w:rPr>
        <w:t>irrigat</w:t>
      </w:r>
      <w:r>
        <w:rPr>
          <w:rFonts w:ascii="Arial" w:hAnsi="Arial" w:cs="Arial"/>
          <w:color w:val="auto"/>
          <w:sz w:val="22"/>
          <w:szCs w:val="22"/>
        </w:rPr>
        <w:t>o</w:t>
      </w:r>
      <w:r w:rsidRPr="00257F7D">
        <w:rPr>
          <w:rFonts w:ascii="Arial" w:hAnsi="Arial" w:cs="Arial"/>
          <w:color w:val="auto"/>
          <w:sz w:val="22"/>
          <w:szCs w:val="22"/>
        </w:rPr>
        <w:t>; seguono Veneto (42,2</w:t>
      </w:r>
      <w:r>
        <w:rPr>
          <w:rFonts w:ascii="Arial" w:hAnsi="Arial" w:cs="Arial"/>
          <w:color w:val="auto"/>
          <w:sz w:val="22"/>
          <w:szCs w:val="22"/>
        </w:rPr>
        <w:t>%</w:t>
      </w:r>
      <w:r w:rsidRPr="00257F7D">
        <w:rPr>
          <w:rFonts w:ascii="Arial" w:hAnsi="Arial" w:cs="Arial"/>
          <w:color w:val="auto"/>
          <w:sz w:val="22"/>
          <w:szCs w:val="22"/>
        </w:rPr>
        <w:t>) e Piemonte (37,2</w:t>
      </w:r>
      <w:r>
        <w:rPr>
          <w:rFonts w:ascii="Arial" w:hAnsi="Arial" w:cs="Arial"/>
          <w:color w:val="auto"/>
          <w:sz w:val="22"/>
          <w:szCs w:val="22"/>
        </w:rPr>
        <w:t>%</w:t>
      </w:r>
      <w:r w:rsidRPr="00257F7D">
        <w:rPr>
          <w:rFonts w:ascii="Arial" w:hAnsi="Arial" w:cs="Arial"/>
          <w:color w:val="auto"/>
          <w:sz w:val="22"/>
          <w:szCs w:val="22"/>
        </w:rPr>
        <w:t xml:space="preserve">). Nelle Marche, di contro, si registra </w:t>
      </w:r>
      <w:r>
        <w:rPr>
          <w:rFonts w:ascii="Arial" w:hAnsi="Arial" w:cs="Arial"/>
          <w:color w:val="auto"/>
          <w:sz w:val="22"/>
          <w:szCs w:val="22"/>
        </w:rPr>
        <w:t>il valore più basso (</w:t>
      </w:r>
      <w:r w:rsidRPr="00257F7D">
        <w:rPr>
          <w:rFonts w:ascii="Arial" w:hAnsi="Arial" w:cs="Arial"/>
          <w:color w:val="auto"/>
          <w:sz w:val="22"/>
          <w:szCs w:val="22"/>
        </w:rPr>
        <w:t>3,4</w:t>
      </w:r>
      <w:r>
        <w:rPr>
          <w:rFonts w:ascii="Arial" w:hAnsi="Arial" w:cs="Arial"/>
          <w:color w:val="auto"/>
          <w:sz w:val="22"/>
          <w:szCs w:val="22"/>
        </w:rPr>
        <w:t>%)</w:t>
      </w:r>
      <w:r w:rsidRPr="00257F7D">
        <w:rPr>
          <w:rFonts w:ascii="Arial" w:hAnsi="Arial" w:cs="Arial"/>
          <w:color w:val="auto"/>
          <w:sz w:val="22"/>
          <w:szCs w:val="22"/>
        </w:rPr>
        <w:t>.</w:t>
      </w:r>
    </w:p>
    <w:p w14:paraId="09DEA5C3" w14:textId="77777777" w:rsidR="00312929" w:rsidRDefault="00312929" w:rsidP="00312929">
      <w:pPr>
        <w:pStyle w:val="Default"/>
        <w:spacing w:after="120"/>
        <w:jc w:val="both"/>
        <w:rPr>
          <w:rFonts w:ascii="Arial" w:hAnsi="Arial" w:cs="Arial"/>
          <w:color w:val="auto"/>
          <w:sz w:val="22"/>
          <w:szCs w:val="22"/>
        </w:rPr>
      </w:pPr>
      <w:r w:rsidRPr="00257F7D">
        <w:rPr>
          <w:rFonts w:ascii="Arial" w:hAnsi="Arial" w:cs="Arial"/>
          <w:color w:val="auto"/>
          <w:sz w:val="22"/>
          <w:szCs w:val="22"/>
        </w:rPr>
        <w:t>Nel 2016 il 18,6</w:t>
      </w:r>
      <w:r w:rsidR="005046D5">
        <w:rPr>
          <w:rFonts w:ascii="Arial" w:hAnsi="Arial" w:cs="Arial"/>
          <w:color w:val="auto"/>
          <w:sz w:val="22"/>
          <w:szCs w:val="22"/>
        </w:rPr>
        <w:t>%</w:t>
      </w:r>
      <w:r w:rsidRPr="00257F7D">
        <w:rPr>
          <w:rFonts w:ascii="Arial" w:hAnsi="Arial" w:cs="Arial"/>
          <w:color w:val="auto"/>
          <w:sz w:val="22"/>
          <w:szCs w:val="22"/>
        </w:rPr>
        <w:t xml:space="preserve"> della superficie irrigata è coltivata a mais da granella</w:t>
      </w:r>
      <w:r w:rsidR="00BD6C19">
        <w:rPr>
          <w:rFonts w:ascii="Arial" w:hAnsi="Arial" w:cs="Arial"/>
          <w:color w:val="auto"/>
          <w:sz w:val="22"/>
          <w:szCs w:val="22"/>
        </w:rPr>
        <w:t xml:space="preserve">; seguono </w:t>
      </w:r>
      <w:r w:rsidRPr="00257F7D">
        <w:rPr>
          <w:rFonts w:ascii="Arial" w:hAnsi="Arial" w:cs="Arial"/>
          <w:color w:val="auto"/>
          <w:sz w:val="22"/>
          <w:szCs w:val="22"/>
        </w:rPr>
        <w:t>erbai e altre foraggere avvicendate (17,3</w:t>
      </w:r>
      <w:r w:rsidR="005046D5">
        <w:rPr>
          <w:rFonts w:ascii="Arial" w:hAnsi="Arial" w:cs="Arial"/>
          <w:color w:val="auto"/>
          <w:sz w:val="22"/>
          <w:szCs w:val="22"/>
        </w:rPr>
        <w:t>%</w:t>
      </w:r>
      <w:r w:rsidRPr="00257F7D">
        <w:rPr>
          <w:rFonts w:ascii="Arial" w:hAnsi="Arial" w:cs="Arial"/>
          <w:color w:val="auto"/>
          <w:sz w:val="22"/>
          <w:szCs w:val="22"/>
        </w:rPr>
        <w:t>), l’insieme di fruttiferi e agrumi (12,0</w:t>
      </w:r>
      <w:r w:rsidR="005046D5">
        <w:rPr>
          <w:rFonts w:ascii="Arial" w:hAnsi="Arial" w:cs="Arial"/>
          <w:color w:val="auto"/>
          <w:sz w:val="22"/>
          <w:szCs w:val="22"/>
        </w:rPr>
        <w:t>%</w:t>
      </w:r>
      <w:r w:rsidRPr="00257F7D">
        <w:rPr>
          <w:rFonts w:ascii="Arial" w:hAnsi="Arial" w:cs="Arial"/>
          <w:color w:val="auto"/>
          <w:sz w:val="22"/>
          <w:szCs w:val="22"/>
        </w:rPr>
        <w:t>) e le colture ortive a piena aria (9,6</w:t>
      </w:r>
      <w:r w:rsidR="005046D5">
        <w:rPr>
          <w:rFonts w:ascii="Arial" w:hAnsi="Arial" w:cs="Arial"/>
          <w:color w:val="auto"/>
          <w:sz w:val="22"/>
          <w:szCs w:val="22"/>
        </w:rPr>
        <w:t>%</w:t>
      </w:r>
      <w:r w:rsidRPr="00257F7D">
        <w:rPr>
          <w:rFonts w:ascii="Arial" w:hAnsi="Arial" w:cs="Arial"/>
          <w:color w:val="auto"/>
          <w:sz w:val="22"/>
          <w:szCs w:val="22"/>
        </w:rPr>
        <w:t>)</w:t>
      </w:r>
      <w:r w:rsidR="00BD6C19">
        <w:rPr>
          <w:rFonts w:ascii="Arial" w:hAnsi="Arial" w:cs="Arial"/>
          <w:color w:val="auto"/>
          <w:sz w:val="22"/>
          <w:szCs w:val="22"/>
        </w:rPr>
        <w:t xml:space="preserve"> </w:t>
      </w:r>
      <w:r w:rsidR="00BD6C19" w:rsidRPr="00B64AFB">
        <w:rPr>
          <w:rFonts w:ascii="Arial" w:hAnsi="Arial" w:cs="Arial"/>
          <w:color w:val="auto"/>
          <w:sz w:val="22"/>
          <w:szCs w:val="22"/>
        </w:rPr>
        <w:t xml:space="preserve">(Figura </w:t>
      </w:r>
      <w:r w:rsidR="00BD6C19" w:rsidRPr="00427FDB">
        <w:rPr>
          <w:rFonts w:ascii="Arial" w:hAnsi="Arial" w:cs="Arial"/>
          <w:color w:val="auto"/>
          <w:sz w:val="22"/>
          <w:szCs w:val="22"/>
        </w:rPr>
        <w:t>5</w:t>
      </w:r>
      <w:r w:rsidR="00BD6C19" w:rsidRPr="00B64AFB">
        <w:rPr>
          <w:rFonts w:ascii="Arial" w:hAnsi="Arial" w:cs="Arial"/>
          <w:color w:val="auto"/>
          <w:sz w:val="22"/>
          <w:szCs w:val="22"/>
        </w:rPr>
        <w:t>)</w:t>
      </w:r>
      <w:r w:rsidRPr="00257F7D">
        <w:rPr>
          <w:rFonts w:ascii="Arial" w:hAnsi="Arial" w:cs="Arial"/>
          <w:color w:val="auto"/>
          <w:sz w:val="22"/>
          <w:szCs w:val="22"/>
        </w:rPr>
        <w:t>.</w:t>
      </w:r>
    </w:p>
    <w:p w14:paraId="3D89D154" w14:textId="1D22E89B" w:rsidR="009C4B0C" w:rsidRDefault="009C4B0C" w:rsidP="009C4B0C">
      <w:pPr>
        <w:pStyle w:val="Default"/>
        <w:spacing w:after="120"/>
        <w:jc w:val="both"/>
        <w:rPr>
          <w:rFonts w:ascii="Arial" w:hAnsi="Arial" w:cs="Arial"/>
          <w:color w:val="auto"/>
          <w:sz w:val="22"/>
          <w:szCs w:val="22"/>
        </w:rPr>
      </w:pPr>
      <w:r>
        <w:rPr>
          <w:rFonts w:ascii="Arial" w:hAnsi="Arial" w:cs="Arial"/>
          <w:color w:val="auto"/>
          <w:sz w:val="22"/>
          <w:szCs w:val="22"/>
        </w:rPr>
        <w:t>Non tutte le colture richiedono un</w:t>
      </w:r>
      <w:r w:rsidR="00917ED9">
        <w:rPr>
          <w:rFonts w:ascii="Arial" w:hAnsi="Arial" w:cs="Arial"/>
          <w:color w:val="auto"/>
          <w:sz w:val="22"/>
          <w:szCs w:val="22"/>
        </w:rPr>
        <w:t>’</w:t>
      </w:r>
      <w:r w:rsidRPr="00257F7D">
        <w:rPr>
          <w:rFonts w:ascii="Arial" w:hAnsi="Arial" w:cs="Arial"/>
          <w:color w:val="auto"/>
          <w:sz w:val="22"/>
          <w:szCs w:val="22"/>
        </w:rPr>
        <w:t>irrigazione completa</w:t>
      </w:r>
      <w:r>
        <w:rPr>
          <w:rFonts w:ascii="Arial" w:hAnsi="Arial" w:cs="Arial"/>
          <w:color w:val="auto"/>
          <w:sz w:val="22"/>
          <w:szCs w:val="22"/>
        </w:rPr>
        <w:t xml:space="preserve">. </w:t>
      </w:r>
      <w:r w:rsidRPr="00D448EC">
        <w:rPr>
          <w:rFonts w:ascii="Arial" w:hAnsi="Arial" w:cs="Arial"/>
          <w:color w:val="auto"/>
          <w:sz w:val="22"/>
          <w:szCs w:val="22"/>
        </w:rPr>
        <w:t>La quantità di acqua utilizzata per l'irrigazione dipende da diversi fattori, quali il clima, le condizioni meteorologiche, il tipo di coltura, le caratteristiche del suolo, la qualità dell'acqua, le pratiche di coltivazione e le tecniche di irrigazione scelte.</w:t>
      </w:r>
    </w:p>
    <w:p w14:paraId="6B3052CA" w14:textId="5F4253D4" w:rsidR="004B77FA" w:rsidRDefault="004B77FA" w:rsidP="004B77FA">
      <w:pPr>
        <w:pStyle w:val="Default"/>
        <w:spacing w:after="120"/>
        <w:jc w:val="both"/>
        <w:rPr>
          <w:rFonts w:ascii="Arial" w:hAnsi="Arial" w:cs="Arial"/>
          <w:color w:val="auto"/>
          <w:sz w:val="22"/>
          <w:szCs w:val="22"/>
        </w:rPr>
      </w:pPr>
      <w:r w:rsidRPr="00D448EC">
        <w:rPr>
          <w:rFonts w:ascii="Arial" w:hAnsi="Arial" w:cs="Arial"/>
          <w:color w:val="auto"/>
          <w:sz w:val="22"/>
          <w:szCs w:val="22"/>
        </w:rPr>
        <w:t>Il riso è l’unico tipo di coltivazione con la superficie totalmente irrigata</w:t>
      </w:r>
      <w:r w:rsidR="009C4B0C">
        <w:rPr>
          <w:rFonts w:ascii="Arial" w:hAnsi="Arial" w:cs="Arial"/>
          <w:color w:val="auto"/>
          <w:sz w:val="22"/>
          <w:szCs w:val="22"/>
        </w:rPr>
        <w:t>; un</w:t>
      </w:r>
      <w:r w:rsidRPr="00D448EC">
        <w:rPr>
          <w:rFonts w:ascii="Arial" w:hAnsi="Arial" w:cs="Arial"/>
          <w:color w:val="auto"/>
          <w:sz w:val="22"/>
          <w:szCs w:val="22"/>
        </w:rPr>
        <w:t xml:space="preserve"> consistente apporto idrico </w:t>
      </w:r>
      <w:r w:rsidR="009C4B0C">
        <w:rPr>
          <w:rFonts w:ascii="Arial" w:hAnsi="Arial" w:cs="Arial"/>
          <w:color w:val="auto"/>
          <w:sz w:val="22"/>
          <w:szCs w:val="22"/>
        </w:rPr>
        <w:t xml:space="preserve">è necessario </w:t>
      </w:r>
      <w:r w:rsidRPr="00D448EC">
        <w:rPr>
          <w:rFonts w:ascii="Arial" w:hAnsi="Arial" w:cs="Arial"/>
          <w:color w:val="auto"/>
          <w:sz w:val="22"/>
          <w:szCs w:val="22"/>
        </w:rPr>
        <w:t xml:space="preserve">anche </w:t>
      </w:r>
      <w:r w:rsidR="009C4B0C">
        <w:rPr>
          <w:rFonts w:ascii="Arial" w:hAnsi="Arial" w:cs="Arial"/>
          <w:color w:val="auto"/>
          <w:sz w:val="22"/>
          <w:szCs w:val="22"/>
        </w:rPr>
        <w:t xml:space="preserve">per </w:t>
      </w:r>
      <w:r w:rsidRPr="00D448EC">
        <w:rPr>
          <w:rFonts w:ascii="Arial" w:hAnsi="Arial" w:cs="Arial"/>
          <w:color w:val="auto"/>
          <w:sz w:val="22"/>
          <w:szCs w:val="22"/>
        </w:rPr>
        <w:t>le colture ortive in piena aria e</w:t>
      </w:r>
      <w:r w:rsidR="009C4B0C">
        <w:rPr>
          <w:rFonts w:ascii="Arial" w:hAnsi="Arial" w:cs="Arial"/>
          <w:color w:val="auto"/>
          <w:sz w:val="22"/>
          <w:szCs w:val="22"/>
        </w:rPr>
        <w:t xml:space="preserve"> per</w:t>
      </w:r>
      <w:r w:rsidRPr="00D448EC">
        <w:rPr>
          <w:rFonts w:ascii="Arial" w:hAnsi="Arial" w:cs="Arial"/>
          <w:color w:val="auto"/>
          <w:sz w:val="22"/>
          <w:szCs w:val="22"/>
        </w:rPr>
        <w:t xml:space="preserve"> il mais da granella</w:t>
      </w:r>
      <w:r w:rsidR="009C4B0C">
        <w:rPr>
          <w:rFonts w:ascii="Arial" w:hAnsi="Arial" w:cs="Arial"/>
          <w:color w:val="auto"/>
          <w:sz w:val="22"/>
          <w:szCs w:val="22"/>
        </w:rPr>
        <w:t xml:space="preserve"> (</w:t>
      </w:r>
      <w:r w:rsidRPr="00D448EC">
        <w:rPr>
          <w:rFonts w:ascii="Arial" w:hAnsi="Arial" w:cs="Arial"/>
          <w:color w:val="auto"/>
          <w:sz w:val="22"/>
          <w:szCs w:val="22"/>
        </w:rPr>
        <w:t>oltre il 70</w:t>
      </w:r>
      <w:r w:rsidR="005046D5">
        <w:rPr>
          <w:rFonts w:ascii="Arial" w:hAnsi="Arial" w:cs="Arial"/>
          <w:color w:val="auto"/>
          <w:sz w:val="22"/>
          <w:szCs w:val="22"/>
        </w:rPr>
        <w:t>%</w:t>
      </w:r>
      <w:r w:rsidRPr="00D448EC">
        <w:rPr>
          <w:rFonts w:ascii="Arial" w:hAnsi="Arial" w:cs="Arial"/>
          <w:color w:val="auto"/>
          <w:sz w:val="22"/>
          <w:szCs w:val="22"/>
        </w:rPr>
        <w:t xml:space="preserve"> della superficie coltivata</w:t>
      </w:r>
      <w:r w:rsidR="009C4B0C">
        <w:rPr>
          <w:rFonts w:ascii="Arial" w:hAnsi="Arial" w:cs="Arial"/>
          <w:color w:val="auto"/>
          <w:sz w:val="22"/>
          <w:szCs w:val="22"/>
        </w:rPr>
        <w:t>) e per f</w:t>
      </w:r>
      <w:r w:rsidRPr="00D448EC">
        <w:rPr>
          <w:rFonts w:ascii="Arial" w:hAnsi="Arial" w:cs="Arial"/>
          <w:color w:val="auto"/>
          <w:sz w:val="22"/>
          <w:szCs w:val="22"/>
        </w:rPr>
        <w:t xml:space="preserve">ruttiferi e agrumi </w:t>
      </w:r>
      <w:r w:rsidR="009C4B0C">
        <w:rPr>
          <w:rFonts w:ascii="Arial" w:hAnsi="Arial" w:cs="Arial"/>
          <w:color w:val="auto"/>
          <w:sz w:val="22"/>
          <w:szCs w:val="22"/>
        </w:rPr>
        <w:t>(</w:t>
      </w:r>
      <w:r w:rsidRPr="00D448EC">
        <w:rPr>
          <w:rFonts w:ascii="Arial" w:hAnsi="Arial" w:cs="Arial"/>
          <w:color w:val="auto"/>
          <w:sz w:val="22"/>
          <w:szCs w:val="22"/>
        </w:rPr>
        <w:t>60</w:t>
      </w:r>
      <w:r w:rsidR="005046D5">
        <w:rPr>
          <w:rFonts w:ascii="Arial" w:hAnsi="Arial" w:cs="Arial"/>
          <w:color w:val="auto"/>
          <w:sz w:val="22"/>
          <w:szCs w:val="22"/>
        </w:rPr>
        <w:t>%</w:t>
      </w:r>
      <w:r w:rsidR="009C4B0C">
        <w:rPr>
          <w:rFonts w:ascii="Arial" w:hAnsi="Arial" w:cs="Arial"/>
          <w:color w:val="auto"/>
          <w:sz w:val="22"/>
          <w:szCs w:val="22"/>
        </w:rPr>
        <w:t>)</w:t>
      </w:r>
      <w:r w:rsidRPr="00D448EC">
        <w:rPr>
          <w:rFonts w:ascii="Arial" w:hAnsi="Arial" w:cs="Arial"/>
          <w:color w:val="auto"/>
          <w:sz w:val="22"/>
          <w:szCs w:val="22"/>
        </w:rPr>
        <w:t xml:space="preserve">. Di contro, prati permanenti e pascoli, cereali per la produzione di granella (a esclusione di riso e mais) e colture industriali sono </w:t>
      </w:r>
      <w:r w:rsidR="009C4B0C">
        <w:rPr>
          <w:rFonts w:ascii="Arial" w:hAnsi="Arial" w:cs="Arial"/>
          <w:color w:val="auto"/>
          <w:sz w:val="22"/>
          <w:szCs w:val="22"/>
        </w:rPr>
        <w:t>meno idroesigenti</w:t>
      </w:r>
      <w:r w:rsidRPr="00D448EC">
        <w:rPr>
          <w:rFonts w:ascii="Arial" w:hAnsi="Arial" w:cs="Arial"/>
          <w:color w:val="auto"/>
          <w:sz w:val="22"/>
          <w:szCs w:val="22"/>
        </w:rPr>
        <w:t>.</w:t>
      </w:r>
    </w:p>
    <w:p w14:paraId="37E4EFF7" w14:textId="77777777" w:rsidR="004B77FA" w:rsidRPr="00132A04" w:rsidRDefault="004B77FA" w:rsidP="00420D28">
      <w:pPr>
        <w:autoSpaceDE w:val="0"/>
        <w:autoSpaceDN w:val="0"/>
        <w:adjustRightInd w:val="0"/>
        <w:spacing w:after="120"/>
        <w:jc w:val="both"/>
        <w:rPr>
          <w:rFonts w:ascii="Arial" w:hAnsi="Arial" w:cs="Arial"/>
          <w:b/>
          <w:color w:val="1F497D" w:themeColor="text2"/>
          <w:sz w:val="20"/>
          <w:szCs w:val="20"/>
        </w:rPr>
      </w:pPr>
    </w:p>
    <w:p w14:paraId="64D6B5D0" w14:textId="77777777" w:rsidR="00BE3097" w:rsidRDefault="00C70C46" w:rsidP="00BE3097">
      <w:pPr>
        <w:pStyle w:val="Default"/>
        <w:spacing w:after="120"/>
        <w:jc w:val="both"/>
        <w:rPr>
          <w:rFonts w:ascii="Arial" w:hAnsi="Arial" w:cs="Arial"/>
          <w:b/>
          <w:color w:val="1F497D" w:themeColor="text2"/>
          <w:sz w:val="26"/>
          <w:szCs w:val="26"/>
        </w:rPr>
      </w:pPr>
      <w:r w:rsidRPr="00B64AFB">
        <w:rPr>
          <w:rFonts w:ascii="Arial" w:hAnsi="Arial" w:cs="Arial"/>
          <w:b/>
          <w:color w:val="1F497D" w:themeColor="text2"/>
          <w:sz w:val="26"/>
          <w:szCs w:val="26"/>
        </w:rPr>
        <w:t>Monitora</w:t>
      </w:r>
      <w:r w:rsidR="00B64AFB" w:rsidRPr="00B64AFB">
        <w:rPr>
          <w:rFonts w:ascii="Arial" w:hAnsi="Arial" w:cs="Arial"/>
          <w:b/>
          <w:color w:val="1F497D" w:themeColor="text2"/>
          <w:sz w:val="26"/>
          <w:szCs w:val="26"/>
        </w:rPr>
        <w:t>ti</w:t>
      </w:r>
      <w:r w:rsidRPr="00B64AFB">
        <w:rPr>
          <w:rFonts w:ascii="Arial" w:hAnsi="Arial" w:cs="Arial"/>
          <w:b/>
          <w:color w:val="1F497D" w:themeColor="text2"/>
          <w:sz w:val="26"/>
          <w:szCs w:val="26"/>
        </w:rPr>
        <w:t xml:space="preserve"> oltre due terzi del</w:t>
      </w:r>
      <w:r w:rsidR="00B64AFB" w:rsidRPr="00B64AFB">
        <w:rPr>
          <w:rFonts w:ascii="Arial" w:hAnsi="Arial" w:cs="Arial"/>
          <w:b/>
          <w:color w:val="1F497D" w:themeColor="text2"/>
          <w:sz w:val="26"/>
          <w:szCs w:val="26"/>
        </w:rPr>
        <w:t>la</w:t>
      </w:r>
      <w:r w:rsidR="00936F28">
        <w:rPr>
          <w:rFonts w:ascii="Arial" w:hAnsi="Arial" w:cs="Arial"/>
          <w:b/>
          <w:color w:val="1F497D" w:themeColor="text2"/>
          <w:sz w:val="26"/>
          <w:szCs w:val="26"/>
        </w:rPr>
        <w:t xml:space="preserve"> costa </w:t>
      </w:r>
      <w:r w:rsidRPr="00B64AFB">
        <w:rPr>
          <w:rFonts w:ascii="Arial" w:hAnsi="Arial" w:cs="Arial"/>
          <w:b/>
          <w:color w:val="1F497D" w:themeColor="text2"/>
          <w:sz w:val="26"/>
          <w:szCs w:val="26"/>
        </w:rPr>
        <w:t>italiana</w:t>
      </w:r>
      <w:r w:rsidR="00266FC8">
        <w:rPr>
          <w:rFonts w:ascii="Arial" w:hAnsi="Arial" w:cs="Arial"/>
          <w:b/>
          <w:color w:val="1F497D" w:themeColor="text2"/>
          <w:sz w:val="26"/>
          <w:szCs w:val="26"/>
        </w:rPr>
        <w:t xml:space="preserve"> per verifica balneabilità</w:t>
      </w:r>
    </w:p>
    <w:p w14:paraId="1C09D9A9" w14:textId="615FF9E8" w:rsidR="00BE3097" w:rsidRPr="00DC770C" w:rsidRDefault="00BE3097" w:rsidP="00BE3097">
      <w:pPr>
        <w:pStyle w:val="Default"/>
        <w:spacing w:after="120"/>
        <w:jc w:val="both"/>
        <w:rPr>
          <w:rFonts w:ascii="Arial" w:hAnsi="Arial" w:cs="Arial"/>
          <w:color w:val="auto"/>
          <w:sz w:val="22"/>
          <w:szCs w:val="22"/>
        </w:rPr>
      </w:pPr>
      <w:r w:rsidRPr="00DC770C">
        <w:rPr>
          <w:rFonts w:ascii="Arial" w:hAnsi="Arial" w:cs="Arial"/>
          <w:color w:val="auto"/>
          <w:sz w:val="22"/>
          <w:szCs w:val="22"/>
        </w:rPr>
        <w:t>Nel 201</w:t>
      </w:r>
      <w:r>
        <w:rPr>
          <w:rFonts w:ascii="Arial" w:hAnsi="Arial" w:cs="Arial"/>
          <w:color w:val="auto"/>
          <w:sz w:val="22"/>
          <w:szCs w:val="22"/>
        </w:rPr>
        <w:t>7</w:t>
      </w:r>
      <w:r w:rsidRPr="00DC770C">
        <w:rPr>
          <w:rFonts w:ascii="Arial" w:hAnsi="Arial" w:cs="Arial"/>
          <w:color w:val="auto"/>
          <w:sz w:val="22"/>
          <w:szCs w:val="22"/>
        </w:rPr>
        <w:t xml:space="preserve"> le coste monitorate ai fini della qualità delle acque di balneazione sono oltre due terzi (67,</w:t>
      </w:r>
      <w:r>
        <w:rPr>
          <w:rFonts w:ascii="Arial" w:hAnsi="Arial" w:cs="Arial"/>
          <w:color w:val="auto"/>
          <w:sz w:val="22"/>
          <w:szCs w:val="22"/>
        </w:rPr>
        <w:t>8</w:t>
      </w:r>
      <w:r w:rsidRPr="00DC770C">
        <w:rPr>
          <w:rFonts w:ascii="Arial" w:hAnsi="Arial" w:cs="Arial"/>
          <w:color w:val="auto"/>
          <w:sz w:val="22"/>
          <w:szCs w:val="22"/>
        </w:rPr>
        <w:t>%) della linea litoranea italiana (superiore a 9.000 km)</w:t>
      </w:r>
      <w:r w:rsidR="00C70C46">
        <w:rPr>
          <w:rFonts w:ascii="Arial" w:hAnsi="Arial" w:cs="Arial"/>
          <w:color w:val="auto"/>
          <w:sz w:val="22"/>
          <w:szCs w:val="22"/>
        </w:rPr>
        <w:t>. Il</w:t>
      </w:r>
      <w:r w:rsidRPr="00DC770C">
        <w:rPr>
          <w:rFonts w:ascii="Arial" w:hAnsi="Arial" w:cs="Arial"/>
          <w:color w:val="auto"/>
          <w:sz w:val="22"/>
          <w:szCs w:val="22"/>
        </w:rPr>
        <w:t xml:space="preserve"> restante 32,</w:t>
      </w:r>
      <w:r>
        <w:rPr>
          <w:rFonts w:ascii="Arial" w:hAnsi="Arial" w:cs="Arial"/>
          <w:color w:val="auto"/>
          <w:sz w:val="22"/>
          <w:szCs w:val="22"/>
        </w:rPr>
        <w:t>2</w:t>
      </w:r>
      <w:r w:rsidRPr="00DC770C">
        <w:rPr>
          <w:rFonts w:ascii="Arial" w:hAnsi="Arial" w:cs="Arial"/>
          <w:color w:val="auto"/>
          <w:sz w:val="22"/>
          <w:szCs w:val="22"/>
        </w:rPr>
        <w:t>% è soggetto a divieto permanente</w:t>
      </w:r>
      <w:r w:rsidRPr="00D027E6">
        <w:t xml:space="preserve"> </w:t>
      </w:r>
      <w:r>
        <w:rPr>
          <w:rFonts w:ascii="Arial" w:hAnsi="Arial" w:cs="Arial"/>
          <w:color w:val="auto"/>
          <w:sz w:val="22"/>
          <w:szCs w:val="22"/>
        </w:rPr>
        <w:t>perché</w:t>
      </w:r>
      <w:r w:rsidRPr="00D027E6">
        <w:rPr>
          <w:rFonts w:ascii="Arial" w:hAnsi="Arial" w:cs="Arial"/>
          <w:color w:val="auto"/>
          <w:sz w:val="22"/>
          <w:szCs w:val="22"/>
        </w:rPr>
        <w:t xml:space="preserve"> </w:t>
      </w:r>
      <w:r>
        <w:rPr>
          <w:rFonts w:ascii="Arial" w:hAnsi="Arial" w:cs="Arial"/>
          <w:color w:val="auto"/>
          <w:sz w:val="22"/>
          <w:szCs w:val="22"/>
        </w:rPr>
        <w:t xml:space="preserve">interessa </w:t>
      </w:r>
      <w:r w:rsidRPr="00D027E6">
        <w:rPr>
          <w:rFonts w:ascii="Arial" w:hAnsi="Arial" w:cs="Arial"/>
          <w:color w:val="auto"/>
          <w:sz w:val="22"/>
          <w:szCs w:val="22"/>
        </w:rPr>
        <w:t xml:space="preserve">zone destinate a specifiche attività che ne escludono la </w:t>
      </w:r>
      <w:r>
        <w:rPr>
          <w:rFonts w:ascii="Arial" w:hAnsi="Arial" w:cs="Arial"/>
          <w:color w:val="auto"/>
          <w:sz w:val="22"/>
          <w:szCs w:val="22"/>
        </w:rPr>
        <w:t>balneabilità oppure presenta ri</w:t>
      </w:r>
      <w:r w:rsidRPr="00D027E6">
        <w:rPr>
          <w:rFonts w:ascii="Arial" w:hAnsi="Arial" w:cs="Arial"/>
          <w:color w:val="auto"/>
          <w:sz w:val="22"/>
          <w:szCs w:val="22"/>
        </w:rPr>
        <w:t>schi di sicurezza per motivi igienico-sanitari</w:t>
      </w:r>
      <w:r w:rsidR="002E52BB" w:rsidRPr="000314C2">
        <w:rPr>
          <w:rFonts w:ascii="Arial" w:hAnsi="Arial" w:cs="Arial"/>
          <w:color w:val="auto"/>
          <w:sz w:val="22"/>
          <w:szCs w:val="22"/>
        </w:rPr>
        <w:t xml:space="preserve"> (Figura </w:t>
      </w:r>
      <w:r w:rsidR="00C81835" w:rsidRPr="00427FDB">
        <w:rPr>
          <w:rFonts w:ascii="Arial" w:hAnsi="Arial" w:cs="Arial"/>
          <w:color w:val="auto"/>
          <w:sz w:val="22"/>
          <w:szCs w:val="22"/>
        </w:rPr>
        <w:t>6</w:t>
      </w:r>
      <w:r w:rsidR="002E52BB" w:rsidRPr="000314C2">
        <w:rPr>
          <w:rFonts w:ascii="Arial" w:hAnsi="Arial" w:cs="Arial"/>
          <w:color w:val="auto"/>
          <w:sz w:val="22"/>
          <w:szCs w:val="22"/>
        </w:rPr>
        <w:t>).</w:t>
      </w:r>
    </w:p>
    <w:p w14:paraId="40EFEDDA" w14:textId="6F8BDA02" w:rsidR="00B64AFB" w:rsidRPr="007C4F7E" w:rsidRDefault="00BE3097" w:rsidP="00BE3097">
      <w:pPr>
        <w:pStyle w:val="Default"/>
        <w:spacing w:after="120"/>
        <w:jc w:val="both"/>
        <w:rPr>
          <w:rFonts w:ascii="Arial" w:hAnsi="Arial" w:cs="Arial"/>
          <w:sz w:val="22"/>
          <w:szCs w:val="22"/>
        </w:rPr>
      </w:pPr>
      <w:r w:rsidRPr="00DC770C">
        <w:rPr>
          <w:rFonts w:ascii="Arial" w:hAnsi="Arial" w:cs="Arial"/>
          <w:color w:val="auto"/>
          <w:sz w:val="22"/>
          <w:szCs w:val="22"/>
        </w:rPr>
        <w:t xml:space="preserve">In tutte le regioni, ad eccezione del Friuli-Venezia Giulia in cui le aree di balneazione </w:t>
      </w:r>
      <w:r w:rsidR="000552CB">
        <w:rPr>
          <w:rFonts w:ascii="Arial" w:hAnsi="Arial" w:cs="Arial"/>
          <w:color w:val="auto"/>
          <w:sz w:val="22"/>
          <w:szCs w:val="22"/>
        </w:rPr>
        <w:t xml:space="preserve">marino-costiere </w:t>
      </w:r>
      <w:r w:rsidRPr="00DC770C">
        <w:rPr>
          <w:rFonts w:ascii="Arial" w:hAnsi="Arial" w:cs="Arial"/>
          <w:color w:val="auto"/>
          <w:sz w:val="22"/>
          <w:szCs w:val="22"/>
        </w:rPr>
        <w:t>interessano il 42,2% della costa totale regionale, più della metà della linea litoranea è monitorata</w:t>
      </w:r>
      <w:r w:rsidR="00DD4E32">
        <w:rPr>
          <w:rFonts w:ascii="Arial" w:hAnsi="Arial" w:cs="Arial"/>
          <w:color w:val="auto"/>
          <w:sz w:val="22"/>
          <w:szCs w:val="22"/>
        </w:rPr>
        <w:t>.</w:t>
      </w:r>
      <w:r w:rsidRPr="00DC770C">
        <w:rPr>
          <w:rFonts w:ascii="Arial" w:hAnsi="Arial" w:cs="Arial"/>
          <w:color w:val="auto"/>
          <w:sz w:val="22"/>
          <w:szCs w:val="22"/>
        </w:rPr>
        <w:t xml:space="preserve"> </w:t>
      </w:r>
      <w:r w:rsidR="00DD4E32">
        <w:rPr>
          <w:rFonts w:ascii="Arial" w:hAnsi="Arial" w:cs="Arial"/>
          <w:color w:val="auto"/>
          <w:sz w:val="22"/>
          <w:szCs w:val="22"/>
        </w:rPr>
        <w:t>L</w:t>
      </w:r>
      <w:r w:rsidRPr="00DC770C">
        <w:rPr>
          <w:rFonts w:ascii="Arial" w:hAnsi="Arial" w:cs="Arial"/>
          <w:color w:val="auto"/>
          <w:sz w:val="22"/>
          <w:szCs w:val="22"/>
        </w:rPr>
        <w:t xml:space="preserve">’incidenza </w:t>
      </w:r>
      <w:r w:rsidR="00DD4E32">
        <w:rPr>
          <w:rFonts w:ascii="Arial" w:hAnsi="Arial" w:cs="Arial"/>
          <w:color w:val="auto"/>
          <w:sz w:val="22"/>
          <w:szCs w:val="22"/>
        </w:rPr>
        <w:t xml:space="preserve">è </w:t>
      </w:r>
      <w:r w:rsidRPr="00DC770C">
        <w:rPr>
          <w:rFonts w:ascii="Arial" w:hAnsi="Arial" w:cs="Arial"/>
          <w:color w:val="auto"/>
          <w:sz w:val="22"/>
          <w:szCs w:val="22"/>
        </w:rPr>
        <w:t xml:space="preserve">massima in Basilicata (90,8%) e minima in </w:t>
      </w:r>
      <w:r>
        <w:rPr>
          <w:rFonts w:ascii="Arial" w:hAnsi="Arial" w:cs="Arial"/>
          <w:color w:val="auto"/>
          <w:sz w:val="22"/>
          <w:szCs w:val="22"/>
        </w:rPr>
        <w:t>Sicilia</w:t>
      </w:r>
      <w:r w:rsidRPr="00DC770C">
        <w:rPr>
          <w:rFonts w:ascii="Arial" w:hAnsi="Arial" w:cs="Arial"/>
          <w:color w:val="auto"/>
          <w:sz w:val="22"/>
          <w:szCs w:val="22"/>
        </w:rPr>
        <w:t xml:space="preserve"> (5</w:t>
      </w:r>
      <w:r>
        <w:rPr>
          <w:rFonts w:ascii="Arial" w:hAnsi="Arial" w:cs="Arial"/>
          <w:color w:val="auto"/>
          <w:sz w:val="22"/>
          <w:szCs w:val="22"/>
        </w:rPr>
        <w:t>7,8</w:t>
      </w:r>
      <w:r w:rsidRPr="00DC770C">
        <w:rPr>
          <w:rFonts w:ascii="Arial" w:hAnsi="Arial" w:cs="Arial"/>
          <w:color w:val="auto"/>
          <w:sz w:val="22"/>
          <w:szCs w:val="22"/>
        </w:rPr>
        <w:t>%).</w:t>
      </w:r>
      <w:r>
        <w:rPr>
          <w:rFonts w:ascii="Arial" w:hAnsi="Arial" w:cs="Arial"/>
          <w:color w:val="auto"/>
          <w:sz w:val="22"/>
          <w:szCs w:val="22"/>
        </w:rPr>
        <w:t xml:space="preserve"> Rispetto all’anno precedente </w:t>
      </w:r>
      <w:r w:rsidR="00DD4E32">
        <w:rPr>
          <w:rFonts w:ascii="Arial" w:hAnsi="Arial" w:cs="Arial"/>
          <w:color w:val="auto"/>
          <w:sz w:val="22"/>
          <w:szCs w:val="22"/>
        </w:rPr>
        <w:t>le</w:t>
      </w:r>
      <w:r>
        <w:rPr>
          <w:rFonts w:ascii="Arial" w:hAnsi="Arial" w:cs="Arial"/>
          <w:color w:val="auto"/>
          <w:sz w:val="22"/>
          <w:szCs w:val="22"/>
        </w:rPr>
        <w:t xml:space="preserve"> variazioni </w:t>
      </w:r>
      <w:r w:rsidR="00DD4E32">
        <w:rPr>
          <w:rFonts w:ascii="Arial" w:hAnsi="Arial" w:cs="Arial"/>
          <w:color w:val="auto"/>
          <w:sz w:val="22"/>
          <w:szCs w:val="22"/>
        </w:rPr>
        <w:t>maggiori si registrano in S</w:t>
      </w:r>
      <w:r>
        <w:rPr>
          <w:rFonts w:ascii="Arial" w:hAnsi="Arial" w:cs="Arial"/>
          <w:color w:val="auto"/>
          <w:sz w:val="22"/>
          <w:szCs w:val="22"/>
        </w:rPr>
        <w:t>icilia</w:t>
      </w:r>
      <w:r w:rsidR="00737866">
        <w:rPr>
          <w:rFonts w:ascii="Arial" w:hAnsi="Arial" w:cs="Arial"/>
          <w:color w:val="auto"/>
          <w:sz w:val="22"/>
          <w:szCs w:val="22"/>
        </w:rPr>
        <w:t>,</w:t>
      </w:r>
      <w:r w:rsidR="00DD4E32">
        <w:rPr>
          <w:rFonts w:ascii="Arial" w:hAnsi="Arial" w:cs="Arial"/>
          <w:color w:val="auto"/>
          <w:sz w:val="22"/>
          <w:szCs w:val="22"/>
        </w:rPr>
        <w:t xml:space="preserve"> dove si rileva una diminuzione pari a </w:t>
      </w:r>
      <w:r>
        <w:rPr>
          <w:rFonts w:ascii="Arial" w:hAnsi="Arial" w:cs="Arial"/>
          <w:color w:val="auto"/>
          <w:sz w:val="22"/>
          <w:szCs w:val="22"/>
        </w:rPr>
        <w:t>0,6 punti percentuali di costa soggetta alla Direttiva “Balneazione”</w:t>
      </w:r>
      <w:r w:rsidR="00C70C46">
        <w:rPr>
          <w:rFonts w:ascii="Arial" w:hAnsi="Arial" w:cs="Arial"/>
          <w:color w:val="auto"/>
          <w:sz w:val="22"/>
          <w:szCs w:val="22"/>
        </w:rPr>
        <w:t>. Q</w:t>
      </w:r>
      <w:r>
        <w:rPr>
          <w:rFonts w:ascii="Arial" w:hAnsi="Arial" w:cs="Arial"/>
          <w:color w:val="auto"/>
          <w:sz w:val="22"/>
          <w:szCs w:val="22"/>
        </w:rPr>
        <w:t xml:space="preserve">uesto decremento è dovuto principalmente alla chiusura di </w:t>
      </w:r>
      <w:r w:rsidR="000552CB">
        <w:rPr>
          <w:rFonts w:ascii="Arial" w:hAnsi="Arial" w:cs="Arial"/>
          <w:color w:val="auto"/>
          <w:sz w:val="22"/>
          <w:szCs w:val="22"/>
        </w:rPr>
        <w:t>tratti di costa</w:t>
      </w:r>
      <w:r>
        <w:rPr>
          <w:rFonts w:ascii="Arial" w:hAnsi="Arial" w:cs="Arial"/>
          <w:color w:val="auto"/>
          <w:sz w:val="22"/>
          <w:szCs w:val="22"/>
        </w:rPr>
        <w:t xml:space="preserve"> con presenza di foci o prossim</w:t>
      </w:r>
      <w:r w:rsidR="000552CB">
        <w:rPr>
          <w:rFonts w:ascii="Arial" w:hAnsi="Arial" w:cs="Arial"/>
          <w:color w:val="auto"/>
          <w:sz w:val="22"/>
          <w:szCs w:val="22"/>
        </w:rPr>
        <w:t>i</w:t>
      </w:r>
      <w:r>
        <w:rPr>
          <w:rFonts w:ascii="Arial" w:hAnsi="Arial" w:cs="Arial"/>
          <w:color w:val="auto"/>
          <w:sz w:val="22"/>
          <w:szCs w:val="22"/>
        </w:rPr>
        <w:t xml:space="preserve"> a torrenti, </w:t>
      </w:r>
      <w:r w:rsidR="0040436C">
        <w:rPr>
          <w:rFonts w:ascii="Arial" w:hAnsi="Arial" w:cs="Arial"/>
          <w:color w:val="auto"/>
          <w:sz w:val="22"/>
          <w:szCs w:val="22"/>
        </w:rPr>
        <w:t xml:space="preserve">in ottemperanza </w:t>
      </w:r>
      <w:r w:rsidR="00737866">
        <w:rPr>
          <w:rFonts w:ascii="Arial" w:hAnsi="Arial" w:cs="Arial"/>
          <w:color w:val="auto"/>
          <w:sz w:val="22"/>
          <w:szCs w:val="22"/>
        </w:rPr>
        <w:t xml:space="preserve">alle </w:t>
      </w:r>
      <w:r>
        <w:rPr>
          <w:rFonts w:ascii="Arial" w:hAnsi="Arial" w:cs="Arial"/>
          <w:color w:val="auto"/>
          <w:sz w:val="22"/>
          <w:szCs w:val="22"/>
        </w:rPr>
        <w:t xml:space="preserve">normative vigenti. </w:t>
      </w:r>
      <w:r w:rsidR="00F45030">
        <w:rPr>
          <w:rFonts w:ascii="Arial" w:hAnsi="Arial" w:cs="Arial"/>
          <w:sz w:val="22"/>
          <w:szCs w:val="22"/>
        </w:rPr>
        <w:t>I</w:t>
      </w:r>
      <w:r w:rsidR="00F45030" w:rsidRPr="008F6725">
        <w:rPr>
          <w:rFonts w:ascii="Arial" w:hAnsi="Arial" w:cs="Arial"/>
          <w:sz w:val="22"/>
          <w:szCs w:val="22"/>
        </w:rPr>
        <w:t>n Molise</w:t>
      </w:r>
      <w:r w:rsidR="00F45030">
        <w:rPr>
          <w:rFonts w:ascii="Arial" w:hAnsi="Arial" w:cs="Arial"/>
          <w:sz w:val="22"/>
          <w:szCs w:val="22"/>
        </w:rPr>
        <w:t>,</w:t>
      </w:r>
      <w:r w:rsidR="00F45030" w:rsidRPr="008F6725">
        <w:rPr>
          <w:rFonts w:ascii="Arial" w:hAnsi="Arial" w:cs="Arial"/>
          <w:sz w:val="22"/>
          <w:szCs w:val="22"/>
        </w:rPr>
        <w:t xml:space="preserve"> </w:t>
      </w:r>
      <w:r w:rsidR="00F45030">
        <w:rPr>
          <w:rFonts w:ascii="Arial" w:hAnsi="Arial" w:cs="Arial"/>
          <w:sz w:val="22"/>
          <w:szCs w:val="22"/>
        </w:rPr>
        <w:t xml:space="preserve">invece, </w:t>
      </w:r>
      <w:r w:rsidR="00F45030" w:rsidRPr="008F6725">
        <w:rPr>
          <w:rFonts w:ascii="Arial" w:hAnsi="Arial" w:cs="Arial"/>
          <w:sz w:val="22"/>
          <w:szCs w:val="22"/>
        </w:rPr>
        <w:t>la riperimetrazione delle acque di balneazione</w:t>
      </w:r>
      <w:r w:rsidR="00F45030">
        <w:rPr>
          <w:rFonts w:ascii="Arial" w:hAnsi="Arial" w:cs="Arial"/>
          <w:sz w:val="22"/>
          <w:szCs w:val="22"/>
        </w:rPr>
        <w:t xml:space="preserve"> per la stagione balneare 2015 ha p</w:t>
      </w:r>
      <w:r w:rsidR="00917ED9">
        <w:rPr>
          <w:rFonts w:ascii="Arial" w:hAnsi="Arial" w:cs="Arial"/>
          <w:sz w:val="22"/>
          <w:szCs w:val="22"/>
        </w:rPr>
        <w:t>rodotto</w:t>
      </w:r>
      <w:r w:rsidR="00F45030" w:rsidRPr="008F6725">
        <w:rPr>
          <w:rFonts w:ascii="Arial" w:hAnsi="Arial" w:cs="Arial"/>
          <w:sz w:val="22"/>
          <w:szCs w:val="22"/>
        </w:rPr>
        <w:t xml:space="preserve"> una forte differenza del </w:t>
      </w:r>
      <w:r w:rsidR="00F45030">
        <w:rPr>
          <w:rFonts w:ascii="Arial" w:hAnsi="Arial" w:cs="Arial"/>
          <w:sz w:val="22"/>
          <w:szCs w:val="22"/>
        </w:rPr>
        <w:t>valore</w:t>
      </w:r>
      <w:r w:rsidR="00F45030" w:rsidRPr="008F6725">
        <w:rPr>
          <w:rFonts w:ascii="Arial" w:hAnsi="Arial" w:cs="Arial"/>
          <w:sz w:val="22"/>
          <w:szCs w:val="22"/>
        </w:rPr>
        <w:t xml:space="preserve"> degli ultimi anni rispetto ai precedenti</w:t>
      </w:r>
      <w:r w:rsidRPr="008F6725">
        <w:rPr>
          <w:rFonts w:ascii="Arial" w:hAnsi="Arial" w:cs="Arial"/>
          <w:sz w:val="22"/>
          <w:szCs w:val="22"/>
        </w:rPr>
        <w:t>.</w:t>
      </w:r>
    </w:p>
    <w:p w14:paraId="4F84ACA5" w14:textId="77777777" w:rsidR="007C4F7E" w:rsidRPr="00132A04" w:rsidRDefault="007C4F7E" w:rsidP="00420D28">
      <w:pPr>
        <w:autoSpaceDE w:val="0"/>
        <w:autoSpaceDN w:val="0"/>
        <w:adjustRightInd w:val="0"/>
        <w:spacing w:after="120"/>
        <w:jc w:val="both"/>
        <w:rPr>
          <w:rFonts w:ascii="Arial" w:hAnsi="Arial" w:cs="Arial"/>
          <w:b/>
          <w:color w:val="1F497D" w:themeColor="text2"/>
          <w:sz w:val="20"/>
          <w:szCs w:val="20"/>
        </w:rPr>
      </w:pPr>
    </w:p>
    <w:p w14:paraId="5C377EC8" w14:textId="415C972D" w:rsidR="00AA18E0" w:rsidRDefault="00084031" w:rsidP="007C4F7E">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 xml:space="preserve">In Abruzzo e Basilicata </w:t>
      </w:r>
      <w:r w:rsidR="00AA18E0">
        <w:rPr>
          <w:rFonts w:ascii="Arial" w:hAnsi="Arial" w:cs="Arial"/>
          <w:b/>
          <w:color w:val="1F497D" w:themeColor="text2"/>
          <w:sz w:val="26"/>
          <w:szCs w:val="26"/>
        </w:rPr>
        <w:t>i</w:t>
      </w:r>
      <w:r w:rsidR="00E27908">
        <w:rPr>
          <w:rFonts w:ascii="Arial" w:hAnsi="Arial" w:cs="Arial"/>
          <w:b/>
          <w:color w:val="1F497D" w:themeColor="text2"/>
          <w:sz w:val="26"/>
          <w:szCs w:val="26"/>
        </w:rPr>
        <w:t>l</w:t>
      </w:r>
      <w:r>
        <w:rPr>
          <w:rFonts w:ascii="Arial" w:hAnsi="Arial" w:cs="Arial"/>
          <w:b/>
          <w:color w:val="1F497D" w:themeColor="text2"/>
          <w:sz w:val="26"/>
          <w:szCs w:val="26"/>
        </w:rPr>
        <w:t xml:space="preserve"> maggior</w:t>
      </w:r>
      <w:r w:rsidR="00E27908">
        <w:rPr>
          <w:rFonts w:ascii="Arial" w:hAnsi="Arial" w:cs="Arial"/>
          <w:b/>
          <w:color w:val="1F497D" w:themeColor="text2"/>
          <w:sz w:val="26"/>
          <w:szCs w:val="26"/>
        </w:rPr>
        <w:t>e</w:t>
      </w:r>
      <w:r>
        <w:rPr>
          <w:rFonts w:ascii="Arial" w:hAnsi="Arial" w:cs="Arial"/>
          <w:b/>
          <w:color w:val="1F497D" w:themeColor="text2"/>
          <w:sz w:val="26"/>
          <w:szCs w:val="26"/>
        </w:rPr>
        <w:t xml:space="preserve"> </w:t>
      </w:r>
      <w:r w:rsidR="00724E87">
        <w:rPr>
          <w:rFonts w:ascii="Arial" w:hAnsi="Arial" w:cs="Arial"/>
          <w:b/>
          <w:color w:val="1F497D" w:themeColor="text2"/>
          <w:sz w:val="26"/>
          <w:szCs w:val="26"/>
        </w:rPr>
        <w:t>incremento</w:t>
      </w:r>
      <w:r w:rsidR="00E27908">
        <w:rPr>
          <w:rFonts w:ascii="Arial" w:hAnsi="Arial" w:cs="Arial"/>
          <w:b/>
          <w:color w:val="1F497D" w:themeColor="text2"/>
          <w:sz w:val="26"/>
          <w:szCs w:val="26"/>
        </w:rPr>
        <w:t xml:space="preserve"> di </w:t>
      </w:r>
      <w:r w:rsidR="00AA18E0">
        <w:rPr>
          <w:rFonts w:ascii="Arial" w:hAnsi="Arial" w:cs="Arial"/>
          <w:b/>
          <w:color w:val="1F497D" w:themeColor="text2"/>
          <w:sz w:val="26"/>
          <w:szCs w:val="26"/>
        </w:rPr>
        <w:t xml:space="preserve">coste marine </w:t>
      </w:r>
      <w:r>
        <w:rPr>
          <w:rFonts w:ascii="Arial" w:hAnsi="Arial" w:cs="Arial"/>
          <w:b/>
          <w:color w:val="1F497D" w:themeColor="text2"/>
          <w:sz w:val="26"/>
          <w:szCs w:val="26"/>
        </w:rPr>
        <w:t>eccellent</w:t>
      </w:r>
      <w:r w:rsidR="009C47C8">
        <w:rPr>
          <w:rFonts w:ascii="Arial" w:hAnsi="Arial" w:cs="Arial"/>
          <w:b/>
          <w:color w:val="1F497D" w:themeColor="text2"/>
          <w:sz w:val="26"/>
          <w:szCs w:val="26"/>
        </w:rPr>
        <w:t>i</w:t>
      </w:r>
    </w:p>
    <w:p w14:paraId="42FAEF9F" w14:textId="58079C3E" w:rsidR="007C4F7E" w:rsidRDefault="007C4F7E" w:rsidP="007C4F7E">
      <w:pPr>
        <w:pStyle w:val="Default"/>
        <w:spacing w:after="120"/>
        <w:jc w:val="both"/>
        <w:rPr>
          <w:rFonts w:ascii="Arial" w:hAnsi="Arial" w:cs="Arial"/>
          <w:color w:val="auto"/>
          <w:sz w:val="22"/>
          <w:szCs w:val="22"/>
        </w:rPr>
      </w:pPr>
      <w:r>
        <w:rPr>
          <w:rFonts w:ascii="Arial" w:hAnsi="Arial" w:cs="Arial"/>
          <w:color w:val="auto"/>
          <w:sz w:val="22"/>
          <w:szCs w:val="22"/>
        </w:rPr>
        <w:t>N</w:t>
      </w:r>
      <w:r w:rsidRPr="005A080E">
        <w:rPr>
          <w:rFonts w:ascii="Arial" w:hAnsi="Arial" w:cs="Arial"/>
          <w:color w:val="auto"/>
          <w:sz w:val="22"/>
          <w:szCs w:val="22"/>
        </w:rPr>
        <w:t>el 2017</w:t>
      </w:r>
      <w:r>
        <w:rPr>
          <w:rFonts w:ascii="Arial" w:hAnsi="Arial" w:cs="Arial"/>
          <w:color w:val="auto"/>
          <w:sz w:val="22"/>
          <w:szCs w:val="22"/>
        </w:rPr>
        <w:t>,</w:t>
      </w:r>
      <w:r w:rsidRPr="005A080E">
        <w:rPr>
          <w:rFonts w:ascii="Arial" w:hAnsi="Arial" w:cs="Arial"/>
          <w:color w:val="auto"/>
          <w:sz w:val="22"/>
          <w:szCs w:val="22"/>
        </w:rPr>
        <w:t xml:space="preserve"> </w:t>
      </w:r>
      <w:r>
        <w:rPr>
          <w:rFonts w:ascii="Arial" w:hAnsi="Arial" w:cs="Arial"/>
          <w:color w:val="auto"/>
          <w:sz w:val="22"/>
          <w:szCs w:val="22"/>
        </w:rPr>
        <w:t>l</w:t>
      </w:r>
      <w:r w:rsidRPr="005A080E">
        <w:rPr>
          <w:rFonts w:ascii="Arial" w:hAnsi="Arial" w:cs="Arial"/>
          <w:color w:val="auto"/>
          <w:sz w:val="22"/>
          <w:szCs w:val="22"/>
        </w:rPr>
        <w:t>e acque</w:t>
      </w:r>
      <w:r w:rsidRPr="00DC770C">
        <w:rPr>
          <w:rFonts w:ascii="Arial" w:hAnsi="Arial" w:cs="Arial"/>
          <w:color w:val="auto"/>
          <w:sz w:val="22"/>
          <w:szCs w:val="22"/>
        </w:rPr>
        <w:t xml:space="preserve"> di balneazione con qualità eccellente</w:t>
      </w:r>
      <w:r>
        <w:rPr>
          <w:rFonts w:ascii="Arial" w:hAnsi="Arial" w:cs="Arial"/>
          <w:color w:val="auto"/>
          <w:sz w:val="22"/>
          <w:szCs w:val="22"/>
        </w:rPr>
        <w:t xml:space="preserve"> interessano il 93,1% della costa italiana monitorata,</w:t>
      </w:r>
      <w:r w:rsidRPr="00DC770C">
        <w:rPr>
          <w:rFonts w:ascii="Arial" w:hAnsi="Arial" w:cs="Arial"/>
          <w:color w:val="auto"/>
          <w:sz w:val="22"/>
          <w:szCs w:val="22"/>
        </w:rPr>
        <w:t xml:space="preserve"> </w:t>
      </w:r>
      <w:r w:rsidR="00341F1D">
        <w:rPr>
          <w:rFonts w:ascii="Arial" w:hAnsi="Arial" w:cs="Arial"/>
          <w:color w:val="auto"/>
          <w:sz w:val="22"/>
          <w:szCs w:val="22"/>
        </w:rPr>
        <w:t xml:space="preserve">una </w:t>
      </w:r>
      <w:r w:rsidRPr="00DC770C">
        <w:rPr>
          <w:rFonts w:ascii="Arial" w:hAnsi="Arial" w:cs="Arial"/>
          <w:color w:val="auto"/>
          <w:sz w:val="22"/>
          <w:szCs w:val="22"/>
        </w:rPr>
        <w:t>percentuale</w:t>
      </w:r>
      <w:r w:rsidR="00341F1D">
        <w:rPr>
          <w:rFonts w:ascii="Arial" w:hAnsi="Arial" w:cs="Arial"/>
          <w:color w:val="auto"/>
          <w:sz w:val="22"/>
          <w:szCs w:val="22"/>
        </w:rPr>
        <w:t xml:space="preserve"> che, nonostante il </w:t>
      </w:r>
      <w:r>
        <w:rPr>
          <w:rFonts w:ascii="Arial" w:hAnsi="Arial" w:cs="Arial"/>
          <w:color w:val="auto"/>
          <w:sz w:val="22"/>
          <w:szCs w:val="22"/>
        </w:rPr>
        <w:t xml:space="preserve">costante aumento </w:t>
      </w:r>
      <w:r w:rsidR="00341F1D">
        <w:rPr>
          <w:rFonts w:ascii="Arial" w:hAnsi="Arial" w:cs="Arial"/>
          <w:color w:val="auto"/>
          <w:sz w:val="22"/>
          <w:szCs w:val="22"/>
        </w:rPr>
        <w:t xml:space="preserve">degli ultimi anni, ha registrato </w:t>
      </w:r>
      <w:r>
        <w:rPr>
          <w:rFonts w:ascii="Arial" w:hAnsi="Arial" w:cs="Arial"/>
          <w:color w:val="auto"/>
          <w:sz w:val="22"/>
          <w:szCs w:val="22"/>
        </w:rPr>
        <w:t>un leggero calo rispetto all’anno precedente.</w:t>
      </w:r>
      <w:r w:rsidRPr="00DC770C">
        <w:rPr>
          <w:rFonts w:ascii="Arial" w:hAnsi="Arial" w:cs="Arial"/>
          <w:color w:val="auto"/>
          <w:sz w:val="22"/>
          <w:szCs w:val="22"/>
        </w:rPr>
        <w:t xml:space="preserve"> </w:t>
      </w:r>
      <w:r>
        <w:rPr>
          <w:rFonts w:ascii="Arial" w:hAnsi="Arial" w:cs="Arial"/>
          <w:color w:val="auto"/>
          <w:sz w:val="22"/>
          <w:szCs w:val="22"/>
        </w:rPr>
        <w:t xml:space="preserve">La </w:t>
      </w:r>
      <w:r w:rsidRPr="00DC770C">
        <w:rPr>
          <w:rFonts w:ascii="Arial" w:hAnsi="Arial" w:cs="Arial"/>
          <w:color w:val="auto"/>
          <w:sz w:val="22"/>
          <w:szCs w:val="22"/>
        </w:rPr>
        <w:t xml:space="preserve">Puglia </w:t>
      </w:r>
      <w:r>
        <w:rPr>
          <w:rFonts w:ascii="Arial" w:hAnsi="Arial" w:cs="Arial"/>
          <w:color w:val="auto"/>
          <w:sz w:val="22"/>
          <w:szCs w:val="22"/>
        </w:rPr>
        <w:t>e i</w:t>
      </w:r>
      <w:r w:rsidRPr="00DC770C">
        <w:rPr>
          <w:rFonts w:ascii="Arial" w:hAnsi="Arial" w:cs="Arial"/>
          <w:color w:val="auto"/>
          <w:sz w:val="22"/>
          <w:szCs w:val="22"/>
        </w:rPr>
        <w:t xml:space="preserve">l Friuli-Venezia Giulia sono le regioni con </w:t>
      </w:r>
      <w:r w:rsidR="00341F1D">
        <w:rPr>
          <w:rFonts w:ascii="Arial" w:hAnsi="Arial" w:cs="Arial"/>
          <w:color w:val="auto"/>
          <w:sz w:val="22"/>
          <w:szCs w:val="22"/>
        </w:rPr>
        <w:t>la quota</w:t>
      </w:r>
      <w:r w:rsidRPr="00DC770C">
        <w:rPr>
          <w:rFonts w:ascii="Arial" w:hAnsi="Arial" w:cs="Arial"/>
          <w:color w:val="auto"/>
          <w:sz w:val="22"/>
          <w:szCs w:val="22"/>
        </w:rPr>
        <w:t xml:space="preserve"> più </w:t>
      </w:r>
      <w:r w:rsidR="00341F1D" w:rsidRPr="00DC770C">
        <w:rPr>
          <w:rFonts w:ascii="Arial" w:hAnsi="Arial" w:cs="Arial"/>
          <w:color w:val="auto"/>
          <w:sz w:val="22"/>
          <w:szCs w:val="22"/>
        </w:rPr>
        <w:t>alt</w:t>
      </w:r>
      <w:r w:rsidR="00341F1D">
        <w:rPr>
          <w:rFonts w:ascii="Arial" w:hAnsi="Arial" w:cs="Arial"/>
          <w:color w:val="auto"/>
          <w:sz w:val="22"/>
          <w:szCs w:val="22"/>
        </w:rPr>
        <w:t>a</w:t>
      </w:r>
      <w:r w:rsidR="00341F1D" w:rsidRPr="00DC770C">
        <w:rPr>
          <w:rFonts w:ascii="Arial" w:hAnsi="Arial" w:cs="Arial"/>
          <w:color w:val="auto"/>
          <w:sz w:val="22"/>
          <w:szCs w:val="22"/>
        </w:rPr>
        <w:t xml:space="preserve"> </w:t>
      </w:r>
      <w:r>
        <w:rPr>
          <w:rFonts w:ascii="Arial" w:hAnsi="Arial" w:cs="Arial"/>
          <w:color w:val="auto"/>
          <w:sz w:val="22"/>
          <w:szCs w:val="22"/>
        </w:rPr>
        <w:t xml:space="preserve">di costa eccellente monitorata </w:t>
      </w:r>
      <w:r w:rsidRPr="00DC770C">
        <w:rPr>
          <w:rFonts w:ascii="Arial" w:hAnsi="Arial" w:cs="Arial"/>
          <w:color w:val="auto"/>
          <w:sz w:val="22"/>
          <w:szCs w:val="22"/>
        </w:rPr>
        <w:t>(99,</w:t>
      </w:r>
      <w:r>
        <w:rPr>
          <w:rFonts w:ascii="Arial" w:hAnsi="Arial" w:cs="Arial"/>
          <w:color w:val="auto"/>
          <w:sz w:val="22"/>
          <w:szCs w:val="22"/>
        </w:rPr>
        <w:t>8</w:t>
      </w:r>
      <w:r w:rsidRPr="00DC770C">
        <w:rPr>
          <w:rFonts w:ascii="Arial" w:hAnsi="Arial" w:cs="Arial"/>
          <w:color w:val="auto"/>
          <w:sz w:val="22"/>
          <w:szCs w:val="22"/>
        </w:rPr>
        <w:t xml:space="preserve">% </w:t>
      </w:r>
      <w:r>
        <w:rPr>
          <w:rFonts w:ascii="Arial" w:hAnsi="Arial" w:cs="Arial"/>
          <w:color w:val="auto"/>
          <w:sz w:val="22"/>
          <w:szCs w:val="22"/>
        </w:rPr>
        <w:t>e 99,3%</w:t>
      </w:r>
      <w:r w:rsidRPr="00DC770C">
        <w:rPr>
          <w:rFonts w:ascii="Arial" w:hAnsi="Arial" w:cs="Arial"/>
          <w:color w:val="auto"/>
          <w:sz w:val="22"/>
          <w:szCs w:val="22"/>
        </w:rPr>
        <w:t>)</w:t>
      </w:r>
      <w:r>
        <w:rPr>
          <w:rFonts w:ascii="Arial" w:hAnsi="Arial" w:cs="Arial"/>
          <w:color w:val="auto"/>
          <w:sz w:val="22"/>
          <w:szCs w:val="22"/>
        </w:rPr>
        <w:t>.</w:t>
      </w:r>
    </w:p>
    <w:p w14:paraId="3833D618" w14:textId="77777777" w:rsidR="007C4F7E" w:rsidRDefault="007C4F7E" w:rsidP="0058126E">
      <w:pPr>
        <w:tabs>
          <w:tab w:val="left" w:pos="900"/>
        </w:tabs>
        <w:spacing w:after="120"/>
        <w:jc w:val="both"/>
        <w:rPr>
          <w:rFonts w:ascii="Arial" w:hAnsi="Arial" w:cs="Arial"/>
          <w:b/>
          <w:color w:val="1F497D" w:themeColor="text2"/>
          <w:sz w:val="22"/>
          <w:szCs w:val="22"/>
        </w:rPr>
      </w:pPr>
    </w:p>
    <w:p w14:paraId="672F0EE6" w14:textId="77777777" w:rsidR="00530415" w:rsidRPr="0058126E" w:rsidRDefault="00530415" w:rsidP="0058126E">
      <w:pPr>
        <w:tabs>
          <w:tab w:val="left" w:pos="900"/>
        </w:tabs>
        <w:spacing w:after="120"/>
        <w:jc w:val="both"/>
        <w:rPr>
          <w:rFonts w:ascii="Arial" w:hAnsi="Arial" w:cs="Arial"/>
          <w:b/>
          <w:color w:val="1F497D" w:themeColor="text2"/>
          <w:sz w:val="22"/>
          <w:szCs w:val="22"/>
        </w:rPr>
      </w:pPr>
    </w:p>
    <w:p w14:paraId="37A9253F" w14:textId="77777777" w:rsidR="00510790" w:rsidRDefault="00510790" w:rsidP="00510790">
      <w:pPr>
        <w:pStyle w:val="ATitoloTavolaFigura"/>
        <w:keepNext/>
        <w:spacing w:before="0" w:after="0"/>
        <w:ind w:left="0" w:firstLine="0"/>
        <w:rPr>
          <w:rFonts w:ascii="Arial Narrow" w:hAnsi="Arial Narrow"/>
          <w:iCs/>
          <w:noProof/>
          <w:color w:val="1F497D" w:themeColor="text2"/>
          <w:sz w:val="22"/>
          <w:szCs w:val="22"/>
        </w:rPr>
      </w:pPr>
      <w:r w:rsidRPr="00CC09D8">
        <w:rPr>
          <w:rFonts w:ascii="Arial Black" w:hAnsi="Arial Black"/>
          <w:iCs/>
          <w:noProof/>
          <w:color w:val="1F497D" w:themeColor="text2"/>
          <w:sz w:val="22"/>
          <w:szCs w:val="22"/>
        </w:rPr>
        <w:t xml:space="preserve">FIGURA </w:t>
      </w:r>
      <w:r>
        <w:rPr>
          <w:rFonts w:ascii="Arial Black" w:hAnsi="Arial Black"/>
          <w:iCs/>
          <w:noProof/>
          <w:color w:val="1F497D" w:themeColor="text2"/>
          <w:sz w:val="22"/>
          <w:szCs w:val="22"/>
        </w:rPr>
        <w:t>5</w:t>
      </w:r>
      <w:r w:rsidRPr="00CC09D8">
        <w:rPr>
          <w:rFonts w:ascii="Arial Black" w:hAnsi="Arial Black"/>
          <w:iCs/>
          <w:noProof/>
          <w:color w:val="1F497D" w:themeColor="text2"/>
          <w:sz w:val="22"/>
          <w:szCs w:val="22"/>
        </w:rPr>
        <w:t>.</w:t>
      </w:r>
      <w:r w:rsidRPr="00EA4D4F">
        <w:rPr>
          <w:rFonts w:ascii="Arial" w:hAnsi="Arial"/>
          <w:iCs/>
        </w:rPr>
        <w:t xml:space="preserve"> </w:t>
      </w:r>
      <w:r w:rsidRPr="006F67CF">
        <w:rPr>
          <w:rFonts w:ascii="Arial Narrow" w:hAnsi="Arial Narrow"/>
          <w:iCs/>
          <w:noProof/>
          <w:color w:val="1F497D" w:themeColor="text2"/>
          <w:sz w:val="22"/>
          <w:szCs w:val="22"/>
        </w:rPr>
        <w:t>S</w:t>
      </w:r>
      <w:r w:rsidR="000314C2">
        <w:rPr>
          <w:rFonts w:ascii="Arial Narrow" w:hAnsi="Arial Narrow"/>
          <w:iCs/>
          <w:noProof/>
          <w:color w:val="1F497D" w:themeColor="text2"/>
          <w:sz w:val="22"/>
          <w:szCs w:val="22"/>
        </w:rPr>
        <w:t xml:space="preserve">UPERFICIE IRRIGATA </w:t>
      </w:r>
      <w:r>
        <w:rPr>
          <w:rFonts w:ascii="Arial Narrow" w:hAnsi="Arial Narrow"/>
          <w:iCs/>
          <w:noProof/>
          <w:color w:val="1F497D" w:themeColor="text2"/>
          <w:sz w:val="22"/>
          <w:szCs w:val="22"/>
        </w:rPr>
        <w:t>PER TIPOLOGIA DI COLTIVAZIONE</w:t>
      </w:r>
    </w:p>
    <w:p w14:paraId="6F06A326" w14:textId="77777777" w:rsidR="00510790" w:rsidRPr="006F67CF" w:rsidRDefault="00510790" w:rsidP="00510790">
      <w:pPr>
        <w:pStyle w:val="ATitoloTavolaFigura"/>
        <w:keepNext/>
        <w:spacing w:before="0" w:after="0"/>
        <w:ind w:left="0" w:firstLine="0"/>
        <w:rPr>
          <w:rFonts w:ascii="Arial Narrow" w:hAnsi="Arial Narrow"/>
          <w:b w:val="0"/>
          <w:iCs/>
          <w:noProof/>
          <w:color w:val="1F497D" w:themeColor="text2"/>
          <w:sz w:val="22"/>
          <w:szCs w:val="22"/>
        </w:rPr>
      </w:pPr>
      <w:r>
        <w:rPr>
          <w:rFonts w:ascii="Arial Narrow" w:hAnsi="Arial Narrow"/>
          <w:b w:val="0"/>
          <w:iCs/>
          <w:noProof/>
          <w:color w:val="1F497D" w:themeColor="text2"/>
          <w:sz w:val="22"/>
          <w:szCs w:val="22"/>
        </w:rPr>
        <w:t>Ann</w:t>
      </w:r>
      <w:r w:rsidR="000314C2">
        <w:rPr>
          <w:rFonts w:ascii="Arial Narrow" w:hAnsi="Arial Narrow"/>
          <w:b w:val="0"/>
          <w:iCs/>
          <w:noProof/>
          <w:color w:val="1F497D" w:themeColor="text2"/>
          <w:sz w:val="22"/>
          <w:szCs w:val="22"/>
        </w:rPr>
        <w:t>a</w:t>
      </w:r>
      <w:r>
        <w:rPr>
          <w:rFonts w:ascii="Arial Narrow" w:hAnsi="Arial Narrow"/>
          <w:b w:val="0"/>
          <w:iCs/>
          <w:noProof/>
          <w:color w:val="1F497D" w:themeColor="text2"/>
          <w:sz w:val="22"/>
          <w:szCs w:val="22"/>
        </w:rPr>
        <w:t>ta agraria 2015-2016, composizione percentuale</w:t>
      </w:r>
    </w:p>
    <w:p w14:paraId="610D5AE0" w14:textId="5E5ED14E" w:rsidR="00AD469F" w:rsidRPr="00132A04" w:rsidRDefault="002F3A78" w:rsidP="00510790">
      <w:pPr>
        <w:jc w:val="both"/>
        <w:rPr>
          <w:rFonts w:ascii="Arial" w:hAnsi="Arial" w:cs="Arial"/>
          <w:sz w:val="6"/>
        </w:rPr>
      </w:pPr>
      <w:r w:rsidRPr="00132A04">
        <w:rPr>
          <w:rFonts w:ascii="Arial Narrow" w:hAnsi="Arial Narrow"/>
          <w:noProof/>
          <w:sz w:val="16"/>
          <w:szCs w:val="15"/>
        </w:rPr>
        <mc:AlternateContent>
          <mc:Choice Requires="wps">
            <w:drawing>
              <wp:anchor distT="0" distB="0" distL="114300" distR="114300" simplePos="0" relativeHeight="251671040" behindDoc="0" locked="0" layoutInCell="1" allowOverlap="1" wp14:anchorId="4AB426DF" wp14:editId="025E72A8">
                <wp:simplePos x="0" y="0"/>
                <wp:positionH relativeFrom="column">
                  <wp:posOffset>2369515</wp:posOffset>
                </wp:positionH>
                <wp:positionV relativeFrom="paragraph">
                  <wp:posOffset>2133600</wp:posOffset>
                </wp:positionV>
                <wp:extent cx="320040" cy="2159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5900"/>
                        </a:xfrm>
                        <a:prstGeom prst="rect">
                          <a:avLst/>
                        </a:prstGeom>
                        <a:noFill/>
                        <a:ln w="9525">
                          <a:noFill/>
                          <a:miter lim="800000"/>
                          <a:headEnd/>
                          <a:tailEnd/>
                        </a:ln>
                      </wps:spPr>
                      <wps:txbx>
                        <w:txbxContent>
                          <w:p w14:paraId="30613A18" w14:textId="77777777" w:rsidR="00D76E46" w:rsidRPr="00427FDB" w:rsidRDefault="00D76E46" w:rsidP="00D76E46">
                            <w:pPr>
                              <w:rPr>
                                <w:rFonts w:ascii="Arial Narrow" w:hAnsi="Arial Narrow"/>
                                <w:sz w:val="18"/>
                                <w:szCs w:val="18"/>
                              </w:rPr>
                            </w:pPr>
                            <w:r w:rsidRPr="00427FDB">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6.6pt;margin-top:168pt;width:25.2pt;height: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" filled="f" stroked="f">
                <v:textbox>
                  <w:txbxContent>
                    <w:p w14:paraId="30613A18" w14:textId="77777777" w:rsidR="00D76E46" w:rsidRPr="00427FDB" w:rsidRDefault="00D76E46" w:rsidP="00D76E46">
                      <w:pPr>
                        <w:rPr>
                          <w:rFonts w:ascii="Arial Narrow" w:hAnsi="Arial Narrow"/>
                          <w:sz w:val="18"/>
                          <w:szCs w:val="18"/>
                        </w:rPr>
                      </w:pPr>
                      <w:r w:rsidRPr="00427FDB">
                        <w:rPr>
                          <w:rFonts w:ascii="Arial Narrow" w:hAnsi="Arial Narrow"/>
                          <w:sz w:val="18"/>
                          <w:szCs w:val="18"/>
                        </w:rPr>
                        <w:t>%</w:t>
                      </w:r>
                    </w:p>
                  </w:txbxContent>
                </v:textbox>
              </v:shape>
            </w:pict>
          </mc:Fallback>
        </mc:AlternateContent>
      </w:r>
      <w:r w:rsidR="00AD469F" w:rsidRPr="00132A04">
        <w:rPr>
          <w:noProof/>
          <w:sz w:val="28"/>
        </w:rPr>
        <w:t xml:space="preserve"> </w:t>
      </w:r>
      <w:r w:rsidR="00FD3D4A">
        <w:rPr>
          <w:noProof/>
        </w:rPr>
        <w:drawing>
          <wp:inline distT="0" distB="0" distL="0" distR="0" wp14:anchorId="68A9D319" wp14:editId="164DF2D9">
            <wp:extent cx="6400800" cy="2147113"/>
            <wp:effectExtent l="0" t="0" r="0" b="5715"/>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3F461F" w14:textId="77777777" w:rsidR="00FD3D4A" w:rsidRPr="00132A04" w:rsidRDefault="00FD3D4A" w:rsidP="00AD469F">
      <w:pPr>
        <w:jc w:val="both"/>
        <w:rPr>
          <w:rFonts w:ascii="Arial Narrow" w:hAnsi="Arial Narrow"/>
          <w:sz w:val="7"/>
          <w:szCs w:val="15"/>
        </w:rPr>
      </w:pPr>
    </w:p>
    <w:p w14:paraId="7C85338A" w14:textId="16F1F3ED" w:rsidR="00AD469F" w:rsidRDefault="00510790" w:rsidP="00AD469F">
      <w:pPr>
        <w:jc w:val="both"/>
        <w:rPr>
          <w:rFonts w:ascii="Arial Narrow" w:hAnsi="Arial Narrow"/>
          <w:sz w:val="15"/>
          <w:szCs w:val="15"/>
        </w:rPr>
      </w:pPr>
      <w:r w:rsidRPr="00F704E3">
        <w:rPr>
          <w:rFonts w:ascii="Arial Narrow" w:hAnsi="Arial Narrow"/>
          <w:sz w:val="15"/>
          <w:szCs w:val="15"/>
        </w:rPr>
        <w:t xml:space="preserve">Fonte: Istat, </w:t>
      </w:r>
      <w:r w:rsidR="00182588">
        <w:rPr>
          <w:rFonts w:ascii="Arial Narrow" w:hAnsi="Arial Narrow"/>
          <w:sz w:val="15"/>
          <w:szCs w:val="15"/>
        </w:rPr>
        <w:t>Censimento dell’agricoltura e I</w:t>
      </w:r>
      <w:r>
        <w:rPr>
          <w:rFonts w:ascii="Arial Narrow" w:hAnsi="Arial Narrow"/>
          <w:sz w:val="15"/>
          <w:szCs w:val="15"/>
        </w:rPr>
        <w:t>ndagine sulla struttura e produzioni delle aziende agricole</w:t>
      </w:r>
      <w:r w:rsidR="00AD469F">
        <w:rPr>
          <w:rFonts w:ascii="Arial Narrow" w:hAnsi="Arial Narrow"/>
          <w:sz w:val="15"/>
          <w:szCs w:val="15"/>
        </w:rPr>
        <w:br w:type="page"/>
      </w:r>
    </w:p>
    <w:p w14:paraId="1CB9A956" w14:textId="27EDB493" w:rsidR="00672170" w:rsidRDefault="000E78C7" w:rsidP="00672170">
      <w:pPr>
        <w:pStyle w:val="Default"/>
        <w:spacing w:after="120"/>
        <w:jc w:val="both"/>
        <w:rPr>
          <w:rFonts w:ascii="Arial" w:hAnsi="Arial" w:cs="Arial"/>
          <w:color w:val="auto"/>
          <w:sz w:val="22"/>
          <w:szCs w:val="22"/>
        </w:rPr>
      </w:pPr>
      <w:r>
        <w:rPr>
          <w:rFonts w:ascii="Arial" w:hAnsi="Arial" w:cs="Arial"/>
          <w:color w:val="auto"/>
          <w:sz w:val="22"/>
          <w:szCs w:val="22"/>
        </w:rPr>
        <w:lastRenderedPageBreak/>
        <w:t xml:space="preserve">Rispetto al 2016, </w:t>
      </w:r>
      <w:r w:rsidR="00672170">
        <w:rPr>
          <w:rFonts w:ascii="Arial" w:hAnsi="Arial" w:cs="Arial"/>
          <w:color w:val="auto"/>
          <w:sz w:val="22"/>
          <w:szCs w:val="22"/>
        </w:rPr>
        <w:t xml:space="preserve">Abruzzo e Basilicata </w:t>
      </w:r>
      <w:r w:rsidR="004915A3">
        <w:rPr>
          <w:rFonts w:ascii="Arial" w:hAnsi="Arial" w:cs="Arial"/>
          <w:color w:val="auto"/>
          <w:sz w:val="22"/>
          <w:szCs w:val="22"/>
        </w:rPr>
        <w:t xml:space="preserve">presentano il maggior incremento della quota di </w:t>
      </w:r>
      <w:r>
        <w:rPr>
          <w:rFonts w:ascii="Arial" w:hAnsi="Arial" w:cs="Arial"/>
          <w:color w:val="auto"/>
          <w:sz w:val="22"/>
          <w:szCs w:val="22"/>
        </w:rPr>
        <w:t>costa contraddistint</w:t>
      </w:r>
      <w:r w:rsidR="004915A3">
        <w:rPr>
          <w:rFonts w:ascii="Arial" w:hAnsi="Arial" w:cs="Arial"/>
          <w:color w:val="auto"/>
          <w:sz w:val="22"/>
          <w:szCs w:val="22"/>
        </w:rPr>
        <w:t>a</w:t>
      </w:r>
      <w:r>
        <w:rPr>
          <w:rFonts w:ascii="Arial" w:hAnsi="Arial" w:cs="Arial"/>
          <w:color w:val="auto"/>
          <w:sz w:val="22"/>
          <w:szCs w:val="22"/>
        </w:rPr>
        <w:t xml:space="preserve"> da</w:t>
      </w:r>
      <w:r w:rsidR="00672170">
        <w:rPr>
          <w:rFonts w:ascii="Arial" w:hAnsi="Arial" w:cs="Arial"/>
          <w:color w:val="auto"/>
          <w:sz w:val="22"/>
          <w:szCs w:val="22"/>
        </w:rPr>
        <w:t xml:space="preserve"> </w:t>
      </w:r>
      <w:r>
        <w:rPr>
          <w:rFonts w:ascii="Arial" w:hAnsi="Arial" w:cs="Arial"/>
          <w:color w:val="auto"/>
          <w:sz w:val="22"/>
          <w:szCs w:val="22"/>
        </w:rPr>
        <w:t xml:space="preserve">acque </w:t>
      </w:r>
      <w:r w:rsidR="004915A3">
        <w:rPr>
          <w:rFonts w:ascii="Arial" w:hAnsi="Arial" w:cs="Arial"/>
          <w:color w:val="auto"/>
          <w:sz w:val="22"/>
          <w:szCs w:val="22"/>
        </w:rPr>
        <w:t xml:space="preserve">di balneazione </w:t>
      </w:r>
      <w:r>
        <w:rPr>
          <w:rFonts w:ascii="Arial" w:hAnsi="Arial" w:cs="Arial"/>
          <w:color w:val="auto"/>
          <w:sz w:val="22"/>
          <w:szCs w:val="22"/>
        </w:rPr>
        <w:t xml:space="preserve">eccellenti </w:t>
      </w:r>
      <w:r w:rsidR="00820F7B">
        <w:rPr>
          <w:rFonts w:ascii="Arial" w:hAnsi="Arial" w:cs="Arial"/>
          <w:color w:val="auto"/>
          <w:sz w:val="22"/>
          <w:szCs w:val="22"/>
        </w:rPr>
        <w:t>(Abruzzo</w:t>
      </w:r>
      <w:r w:rsidR="00820F7B" w:rsidDel="00820F7B">
        <w:rPr>
          <w:rFonts w:ascii="Arial" w:hAnsi="Arial" w:cs="Arial"/>
          <w:color w:val="auto"/>
          <w:sz w:val="22"/>
          <w:szCs w:val="22"/>
        </w:rPr>
        <w:t xml:space="preserve"> </w:t>
      </w:r>
      <w:r w:rsidR="00672170">
        <w:rPr>
          <w:rFonts w:ascii="Arial" w:hAnsi="Arial" w:cs="Arial"/>
          <w:color w:val="auto"/>
          <w:sz w:val="22"/>
          <w:szCs w:val="22"/>
        </w:rPr>
        <w:t xml:space="preserve">dal 76,3% al 79,1% </w:t>
      </w:r>
      <w:r w:rsidR="00820F7B">
        <w:rPr>
          <w:rFonts w:ascii="Arial" w:hAnsi="Arial" w:cs="Arial"/>
          <w:color w:val="auto"/>
          <w:sz w:val="22"/>
          <w:szCs w:val="22"/>
        </w:rPr>
        <w:t xml:space="preserve">e Basilicata </w:t>
      </w:r>
      <w:r w:rsidR="00672170">
        <w:rPr>
          <w:rFonts w:ascii="Arial" w:hAnsi="Arial" w:cs="Arial"/>
          <w:color w:val="auto"/>
          <w:sz w:val="22"/>
          <w:szCs w:val="22"/>
        </w:rPr>
        <w:t>dal 95,6% al</w:t>
      </w:r>
      <w:r w:rsidR="00765F04">
        <w:rPr>
          <w:rFonts w:ascii="Arial" w:hAnsi="Arial" w:cs="Arial"/>
          <w:color w:val="auto"/>
          <w:sz w:val="22"/>
          <w:szCs w:val="22"/>
        </w:rPr>
        <w:t xml:space="preserve"> 9</w:t>
      </w:r>
      <w:r w:rsidR="00672170">
        <w:rPr>
          <w:rFonts w:ascii="Arial" w:hAnsi="Arial" w:cs="Arial"/>
          <w:color w:val="auto"/>
          <w:sz w:val="22"/>
          <w:szCs w:val="22"/>
        </w:rPr>
        <w:t>8,0%</w:t>
      </w:r>
      <w:r w:rsidR="00820F7B">
        <w:rPr>
          <w:rFonts w:ascii="Arial" w:hAnsi="Arial" w:cs="Arial"/>
          <w:color w:val="auto"/>
          <w:sz w:val="22"/>
          <w:szCs w:val="22"/>
        </w:rPr>
        <w:t>)</w:t>
      </w:r>
      <w:r w:rsidR="00672170">
        <w:rPr>
          <w:rFonts w:ascii="Arial" w:hAnsi="Arial" w:cs="Arial"/>
          <w:color w:val="auto"/>
          <w:sz w:val="22"/>
          <w:szCs w:val="22"/>
        </w:rPr>
        <w:t xml:space="preserve">. </w:t>
      </w:r>
      <w:r>
        <w:rPr>
          <w:rFonts w:ascii="Arial" w:hAnsi="Arial" w:cs="Arial"/>
          <w:color w:val="auto"/>
          <w:sz w:val="22"/>
          <w:szCs w:val="22"/>
        </w:rPr>
        <w:t xml:space="preserve">In entrambi i casi la crescita è dovuta al miglioramento della qualità delle acque monitorate. All’opposto, </w:t>
      </w:r>
      <w:r w:rsidR="00672170">
        <w:rPr>
          <w:rFonts w:ascii="Arial" w:hAnsi="Arial" w:cs="Arial"/>
          <w:color w:val="auto"/>
          <w:sz w:val="22"/>
          <w:szCs w:val="22"/>
        </w:rPr>
        <w:t>Sardegna e Molise mostrano il decremento maggiore,</w:t>
      </w:r>
      <w:r>
        <w:rPr>
          <w:rFonts w:ascii="Arial" w:hAnsi="Arial" w:cs="Arial"/>
          <w:color w:val="auto"/>
          <w:sz w:val="22"/>
          <w:szCs w:val="22"/>
        </w:rPr>
        <w:t xml:space="preserve"> </w:t>
      </w:r>
      <w:r w:rsidR="002556BD">
        <w:rPr>
          <w:rFonts w:ascii="Arial" w:hAnsi="Arial" w:cs="Arial"/>
          <w:color w:val="auto"/>
          <w:sz w:val="22"/>
          <w:szCs w:val="22"/>
        </w:rPr>
        <w:t xml:space="preserve">oltre due </w:t>
      </w:r>
      <w:r w:rsidR="00672170">
        <w:rPr>
          <w:rFonts w:ascii="Arial" w:hAnsi="Arial" w:cs="Arial"/>
          <w:color w:val="auto"/>
          <w:sz w:val="22"/>
          <w:szCs w:val="22"/>
        </w:rPr>
        <w:t>punti percentuali</w:t>
      </w:r>
      <w:r w:rsidR="002556BD">
        <w:rPr>
          <w:rFonts w:ascii="Arial" w:hAnsi="Arial" w:cs="Arial"/>
          <w:color w:val="auto"/>
          <w:sz w:val="22"/>
          <w:szCs w:val="22"/>
        </w:rPr>
        <w:t>.</w:t>
      </w:r>
      <w:r w:rsidR="00672170">
        <w:rPr>
          <w:rFonts w:ascii="Arial" w:hAnsi="Arial" w:cs="Arial"/>
          <w:color w:val="auto"/>
          <w:sz w:val="22"/>
          <w:szCs w:val="22"/>
        </w:rPr>
        <w:t xml:space="preserve"> Tali riduzioni corrispondono in Sardegna a un aumento </w:t>
      </w:r>
      <w:r w:rsidR="003E2FF3">
        <w:rPr>
          <w:rFonts w:ascii="Arial" w:hAnsi="Arial" w:cs="Arial"/>
          <w:color w:val="auto"/>
          <w:sz w:val="22"/>
          <w:szCs w:val="22"/>
        </w:rPr>
        <w:t>delle</w:t>
      </w:r>
      <w:r w:rsidR="00672170">
        <w:rPr>
          <w:rFonts w:ascii="Arial" w:hAnsi="Arial" w:cs="Arial"/>
          <w:color w:val="auto"/>
          <w:sz w:val="22"/>
          <w:szCs w:val="22"/>
        </w:rPr>
        <w:t xml:space="preserve"> acque di balneazione </w:t>
      </w:r>
      <w:r w:rsidR="00672170" w:rsidRPr="00901AA9">
        <w:rPr>
          <w:rFonts w:ascii="Arial" w:hAnsi="Arial" w:cs="Arial"/>
          <w:color w:val="auto"/>
          <w:sz w:val="22"/>
          <w:szCs w:val="22"/>
        </w:rPr>
        <w:t>insufficientemente campionate</w:t>
      </w:r>
      <w:r w:rsidR="00820F7B">
        <w:rPr>
          <w:rFonts w:ascii="Arial" w:hAnsi="Arial" w:cs="Arial"/>
          <w:color w:val="auto"/>
          <w:sz w:val="22"/>
          <w:szCs w:val="22"/>
        </w:rPr>
        <w:t xml:space="preserve"> (</w:t>
      </w:r>
      <w:r w:rsidR="00672170">
        <w:rPr>
          <w:rFonts w:ascii="Arial" w:hAnsi="Arial" w:cs="Arial"/>
          <w:color w:val="auto"/>
          <w:sz w:val="22"/>
          <w:szCs w:val="22"/>
        </w:rPr>
        <w:t>3,1%</w:t>
      </w:r>
      <w:r w:rsidR="00DE3D4B">
        <w:rPr>
          <w:rFonts w:ascii="Arial" w:hAnsi="Arial" w:cs="Arial"/>
          <w:color w:val="auto"/>
          <w:sz w:val="22"/>
          <w:szCs w:val="22"/>
        </w:rPr>
        <w:t>), i</w:t>
      </w:r>
      <w:r w:rsidR="00672170">
        <w:rPr>
          <w:rFonts w:ascii="Arial" w:hAnsi="Arial" w:cs="Arial"/>
          <w:color w:val="auto"/>
          <w:sz w:val="22"/>
          <w:szCs w:val="22"/>
        </w:rPr>
        <w:t xml:space="preserve">n Molise a un </w:t>
      </w:r>
      <w:r w:rsidR="003E2FF3">
        <w:rPr>
          <w:rFonts w:ascii="Arial" w:hAnsi="Arial" w:cs="Arial"/>
          <w:color w:val="auto"/>
          <w:sz w:val="22"/>
          <w:szCs w:val="22"/>
        </w:rPr>
        <w:t>numero maggiore</w:t>
      </w:r>
      <w:r w:rsidR="00672170">
        <w:rPr>
          <w:rFonts w:ascii="Arial" w:hAnsi="Arial" w:cs="Arial"/>
          <w:color w:val="auto"/>
          <w:sz w:val="22"/>
          <w:szCs w:val="22"/>
        </w:rPr>
        <w:t xml:space="preserve"> di acque con classe sufficiente, a sfavore non solo delle acque eccellenti</w:t>
      </w:r>
      <w:r w:rsidR="00B932B8">
        <w:rPr>
          <w:rFonts w:ascii="Arial" w:hAnsi="Arial" w:cs="Arial"/>
          <w:color w:val="auto"/>
          <w:sz w:val="22"/>
          <w:szCs w:val="22"/>
        </w:rPr>
        <w:t>,</w:t>
      </w:r>
      <w:r w:rsidR="00672170">
        <w:rPr>
          <w:rFonts w:ascii="Arial" w:hAnsi="Arial" w:cs="Arial"/>
          <w:color w:val="auto"/>
          <w:sz w:val="22"/>
          <w:szCs w:val="22"/>
        </w:rPr>
        <w:t xml:space="preserve"> ma anche d</w:t>
      </w:r>
      <w:r w:rsidR="00820F7B">
        <w:rPr>
          <w:rFonts w:ascii="Arial" w:hAnsi="Arial" w:cs="Arial"/>
          <w:color w:val="auto"/>
          <w:sz w:val="22"/>
          <w:szCs w:val="22"/>
        </w:rPr>
        <w:t>i qu</w:t>
      </w:r>
      <w:r w:rsidR="00672170">
        <w:rPr>
          <w:rFonts w:ascii="Arial" w:hAnsi="Arial" w:cs="Arial"/>
          <w:color w:val="auto"/>
          <w:sz w:val="22"/>
          <w:szCs w:val="22"/>
        </w:rPr>
        <w:t>elle buone</w:t>
      </w:r>
      <w:r w:rsidR="002E52BB">
        <w:rPr>
          <w:rFonts w:ascii="Arial" w:hAnsi="Arial" w:cs="Arial"/>
          <w:color w:val="auto"/>
          <w:sz w:val="22"/>
          <w:szCs w:val="22"/>
        </w:rPr>
        <w:t>.</w:t>
      </w:r>
    </w:p>
    <w:p w14:paraId="19A2096F" w14:textId="399A14EA" w:rsidR="00672170" w:rsidRDefault="00672170" w:rsidP="00672170">
      <w:pPr>
        <w:spacing w:after="120"/>
        <w:jc w:val="both"/>
        <w:rPr>
          <w:rFonts w:ascii="Arial" w:hAnsi="Arial" w:cs="Arial"/>
          <w:sz w:val="22"/>
          <w:szCs w:val="22"/>
        </w:rPr>
      </w:pPr>
      <w:r w:rsidRPr="005F0784">
        <w:rPr>
          <w:rFonts w:ascii="Arial" w:hAnsi="Arial" w:cs="Arial"/>
          <w:sz w:val="22"/>
          <w:szCs w:val="22"/>
        </w:rPr>
        <w:t xml:space="preserve">Il Lazio presenta ancora l’incremento </w:t>
      </w:r>
      <w:r>
        <w:rPr>
          <w:rFonts w:ascii="Arial" w:hAnsi="Arial" w:cs="Arial"/>
          <w:sz w:val="22"/>
          <w:szCs w:val="22"/>
        </w:rPr>
        <w:t xml:space="preserve">complessivo </w:t>
      </w:r>
      <w:r w:rsidRPr="005F0784">
        <w:rPr>
          <w:rFonts w:ascii="Arial" w:hAnsi="Arial" w:cs="Arial"/>
          <w:sz w:val="22"/>
          <w:szCs w:val="22"/>
        </w:rPr>
        <w:t xml:space="preserve">maggiore </w:t>
      </w:r>
      <w:r w:rsidR="00820F7B">
        <w:rPr>
          <w:rFonts w:ascii="Arial" w:hAnsi="Arial" w:cs="Arial"/>
          <w:sz w:val="22"/>
          <w:szCs w:val="22"/>
        </w:rPr>
        <w:t>(</w:t>
      </w:r>
      <w:r w:rsidRPr="005F0784">
        <w:rPr>
          <w:rFonts w:ascii="Arial" w:hAnsi="Arial" w:cs="Arial"/>
          <w:sz w:val="22"/>
          <w:szCs w:val="22"/>
        </w:rPr>
        <w:t>dal 55,3% del 2013 al 9</w:t>
      </w:r>
      <w:r>
        <w:rPr>
          <w:rFonts w:ascii="Arial" w:hAnsi="Arial" w:cs="Arial"/>
          <w:sz w:val="22"/>
          <w:szCs w:val="22"/>
        </w:rPr>
        <w:t>2,6</w:t>
      </w:r>
      <w:r w:rsidRPr="005F0784">
        <w:rPr>
          <w:rFonts w:ascii="Arial" w:hAnsi="Arial" w:cs="Arial"/>
          <w:sz w:val="22"/>
          <w:szCs w:val="22"/>
        </w:rPr>
        <w:t>% nel 201</w:t>
      </w:r>
      <w:r>
        <w:rPr>
          <w:rFonts w:ascii="Arial" w:hAnsi="Arial" w:cs="Arial"/>
          <w:sz w:val="22"/>
          <w:szCs w:val="22"/>
        </w:rPr>
        <w:t>7</w:t>
      </w:r>
      <w:r w:rsidR="00820F7B">
        <w:rPr>
          <w:rFonts w:ascii="Arial" w:hAnsi="Arial" w:cs="Arial"/>
          <w:sz w:val="22"/>
          <w:szCs w:val="22"/>
        </w:rPr>
        <w:t>)</w:t>
      </w:r>
      <w:r w:rsidRPr="005F0784">
        <w:rPr>
          <w:rFonts w:ascii="Arial" w:hAnsi="Arial" w:cs="Arial"/>
          <w:sz w:val="22"/>
          <w:szCs w:val="22"/>
        </w:rPr>
        <w:t xml:space="preserve">, anche se </w:t>
      </w:r>
      <w:r>
        <w:rPr>
          <w:rFonts w:ascii="Arial" w:hAnsi="Arial" w:cs="Arial"/>
          <w:sz w:val="22"/>
          <w:szCs w:val="22"/>
        </w:rPr>
        <w:t>i</w:t>
      </w:r>
      <w:r w:rsidRPr="005F0784">
        <w:rPr>
          <w:rFonts w:ascii="Arial" w:hAnsi="Arial" w:cs="Arial"/>
          <w:sz w:val="22"/>
          <w:szCs w:val="22"/>
        </w:rPr>
        <w:t>n lieve flessione rispetto al 2015 (93,2%)</w:t>
      </w:r>
      <w:r w:rsidR="00820F7B">
        <w:rPr>
          <w:rFonts w:ascii="Arial" w:hAnsi="Arial" w:cs="Arial"/>
          <w:sz w:val="22"/>
          <w:szCs w:val="22"/>
        </w:rPr>
        <w:t>. T</w:t>
      </w:r>
      <w:r>
        <w:rPr>
          <w:rFonts w:ascii="Arial" w:hAnsi="Arial" w:cs="Arial"/>
          <w:sz w:val="22"/>
          <w:szCs w:val="22"/>
        </w:rPr>
        <w:t xml:space="preserve">ale miglioramento </w:t>
      </w:r>
      <w:r w:rsidR="003E2FF3">
        <w:rPr>
          <w:rFonts w:ascii="Arial" w:hAnsi="Arial" w:cs="Arial"/>
          <w:sz w:val="22"/>
          <w:szCs w:val="22"/>
        </w:rPr>
        <w:t>corrisponde al</w:t>
      </w:r>
      <w:r>
        <w:rPr>
          <w:rFonts w:ascii="Arial" w:hAnsi="Arial" w:cs="Arial"/>
          <w:sz w:val="22"/>
          <w:szCs w:val="22"/>
        </w:rPr>
        <w:t>l’aumento dei tratti di costa con qualità buona a scapito delle acque scarse e sufficienti.</w:t>
      </w:r>
    </w:p>
    <w:p w14:paraId="78509BD9" w14:textId="6535216C" w:rsidR="00672170" w:rsidRDefault="00672170" w:rsidP="00672170">
      <w:pPr>
        <w:spacing w:after="120"/>
        <w:jc w:val="both"/>
        <w:rPr>
          <w:rFonts w:ascii="Arial" w:hAnsi="Arial" w:cs="Arial"/>
          <w:sz w:val="22"/>
          <w:szCs w:val="22"/>
        </w:rPr>
      </w:pPr>
      <w:r w:rsidRPr="005F0784">
        <w:rPr>
          <w:rFonts w:ascii="Arial" w:hAnsi="Arial" w:cs="Arial"/>
          <w:sz w:val="22"/>
          <w:szCs w:val="22"/>
        </w:rPr>
        <w:t>Le regioni Veneto, Friuli-Venezia Giulia e Basilicata possiedono esclusivamente coste eccellenti e buone mentre la Sicilia ha il 5</w:t>
      </w:r>
      <w:r>
        <w:rPr>
          <w:rFonts w:ascii="Arial" w:hAnsi="Arial" w:cs="Arial"/>
          <w:sz w:val="22"/>
          <w:szCs w:val="22"/>
        </w:rPr>
        <w:t>,2</w:t>
      </w:r>
      <w:r w:rsidRPr="005F0784">
        <w:rPr>
          <w:rFonts w:ascii="Arial" w:hAnsi="Arial" w:cs="Arial"/>
          <w:sz w:val="22"/>
          <w:szCs w:val="22"/>
        </w:rPr>
        <w:t>% di acque insufficientemente campionate.</w:t>
      </w:r>
    </w:p>
    <w:p w14:paraId="4777BA55" w14:textId="77777777" w:rsidR="00820F7B" w:rsidRPr="00132A04" w:rsidRDefault="00820F7B" w:rsidP="00A31AF4">
      <w:pPr>
        <w:autoSpaceDE w:val="0"/>
        <w:autoSpaceDN w:val="0"/>
        <w:adjustRightInd w:val="0"/>
        <w:spacing w:after="120"/>
        <w:jc w:val="both"/>
        <w:rPr>
          <w:rFonts w:ascii="Arial" w:hAnsi="Arial" w:cs="Arial"/>
          <w:b/>
          <w:color w:val="1F497D" w:themeColor="text2"/>
          <w:sz w:val="20"/>
          <w:szCs w:val="20"/>
        </w:rPr>
      </w:pPr>
    </w:p>
    <w:p w14:paraId="57343B4D" w14:textId="1FFC8E40" w:rsidR="00820F7B" w:rsidRPr="00427FDB" w:rsidRDefault="00B932B8" w:rsidP="00427FDB">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S</w:t>
      </w:r>
      <w:r w:rsidR="00820F7B" w:rsidRPr="00427FDB">
        <w:rPr>
          <w:rFonts w:ascii="Arial" w:hAnsi="Arial" w:cs="Arial"/>
          <w:b/>
          <w:color w:val="1F497D" w:themeColor="text2"/>
          <w:sz w:val="26"/>
          <w:szCs w:val="26"/>
        </w:rPr>
        <w:t xml:space="preserve">carichi </w:t>
      </w:r>
      <w:r w:rsidR="00E27908">
        <w:rPr>
          <w:rFonts w:ascii="Arial" w:hAnsi="Arial" w:cs="Arial"/>
          <w:b/>
          <w:color w:val="1F497D" w:themeColor="text2"/>
          <w:sz w:val="26"/>
          <w:szCs w:val="26"/>
        </w:rPr>
        <w:t>delle</w:t>
      </w:r>
      <w:r w:rsidR="00E27908" w:rsidRPr="00427FDB">
        <w:rPr>
          <w:rFonts w:ascii="Arial" w:hAnsi="Arial" w:cs="Arial"/>
          <w:b/>
          <w:color w:val="1F497D" w:themeColor="text2"/>
          <w:sz w:val="26"/>
          <w:szCs w:val="26"/>
        </w:rPr>
        <w:t xml:space="preserve"> </w:t>
      </w:r>
      <w:r w:rsidR="00820F7B" w:rsidRPr="00427FDB">
        <w:rPr>
          <w:rFonts w:ascii="Arial" w:hAnsi="Arial" w:cs="Arial"/>
          <w:b/>
          <w:color w:val="1F497D" w:themeColor="text2"/>
          <w:sz w:val="26"/>
          <w:szCs w:val="26"/>
        </w:rPr>
        <w:t xml:space="preserve">acque reflue </w:t>
      </w:r>
      <w:r>
        <w:rPr>
          <w:rFonts w:ascii="Arial" w:hAnsi="Arial" w:cs="Arial"/>
          <w:b/>
          <w:color w:val="1F497D" w:themeColor="text2"/>
          <w:sz w:val="26"/>
          <w:szCs w:val="26"/>
        </w:rPr>
        <w:t xml:space="preserve">urbane causa principale </w:t>
      </w:r>
      <w:r w:rsidR="00820F7B" w:rsidRPr="00427FDB">
        <w:rPr>
          <w:rFonts w:ascii="Arial" w:hAnsi="Arial" w:cs="Arial"/>
          <w:b/>
          <w:color w:val="1F497D" w:themeColor="text2"/>
          <w:sz w:val="26"/>
          <w:szCs w:val="26"/>
        </w:rPr>
        <w:t>dei divieti di balneazione</w:t>
      </w:r>
    </w:p>
    <w:p w14:paraId="09D3CC72" w14:textId="7BDB74F3" w:rsidR="00672170" w:rsidRDefault="00BC1CE2" w:rsidP="00672170">
      <w:pPr>
        <w:spacing w:after="120"/>
        <w:jc w:val="both"/>
        <w:rPr>
          <w:rFonts w:ascii="Arial" w:hAnsi="Arial" w:cs="Arial"/>
          <w:sz w:val="22"/>
          <w:szCs w:val="22"/>
        </w:rPr>
      </w:pPr>
      <w:r w:rsidRPr="00BC1CE2">
        <w:rPr>
          <w:rFonts w:ascii="Arial" w:hAnsi="Arial" w:cs="Arial"/>
          <w:sz w:val="22"/>
          <w:szCs w:val="22"/>
        </w:rPr>
        <w:t>Le acque di balneazione con qualità scarsa sono appena lo 0,8% della costa italiana</w:t>
      </w:r>
      <w:r w:rsidR="00340F38">
        <w:rPr>
          <w:rFonts w:ascii="Arial" w:hAnsi="Arial" w:cs="Arial"/>
          <w:sz w:val="22"/>
          <w:szCs w:val="22"/>
        </w:rPr>
        <w:t xml:space="preserve"> monitorata</w:t>
      </w:r>
      <w:r>
        <w:rPr>
          <w:rFonts w:ascii="Arial" w:hAnsi="Arial" w:cs="Arial"/>
          <w:sz w:val="22"/>
          <w:szCs w:val="22"/>
        </w:rPr>
        <w:t xml:space="preserve">, </w:t>
      </w:r>
      <w:r w:rsidR="001C5221">
        <w:rPr>
          <w:rFonts w:ascii="Arial" w:hAnsi="Arial" w:cs="Arial"/>
          <w:sz w:val="22"/>
          <w:szCs w:val="22"/>
        </w:rPr>
        <w:t xml:space="preserve">quota in </w:t>
      </w:r>
      <w:r w:rsidR="00672170" w:rsidRPr="00210FBA">
        <w:rPr>
          <w:rFonts w:ascii="Arial" w:hAnsi="Arial" w:cs="Arial"/>
          <w:sz w:val="22"/>
          <w:szCs w:val="22"/>
        </w:rPr>
        <w:t xml:space="preserve">diminuzione rispetto agli anni precedenti. Tale valore dimostra che l’Italia </w:t>
      </w:r>
      <w:r w:rsidR="001C5221">
        <w:rPr>
          <w:rFonts w:ascii="Arial" w:hAnsi="Arial" w:cs="Arial"/>
          <w:sz w:val="22"/>
          <w:szCs w:val="22"/>
        </w:rPr>
        <w:t>sta</w:t>
      </w:r>
      <w:r w:rsidR="001C5221" w:rsidRPr="00210FBA">
        <w:rPr>
          <w:rFonts w:ascii="Arial" w:hAnsi="Arial" w:cs="Arial"/>
          <w:sz w:val="22"/>
          <w:szCs w:val="22"/>
        </w:rPr>
        <w:t xml:space="preserve"> </w:t>
      </w:r>
      <w:r w:rsidR="00672170" w:rsidRPr="00210FBA">
        <w:rPr>
          <w:rFonts w:ascii="Arial" w:hAnsi="Arial" w:cs="Arial"/>
          <w:sz w:val="22"/>
          <w:szCs w:val="22"/>
        </w:rPr>
        <w:t>persegu</w:t>
      </w:r>
      <w:r w:rsidR="001C5221">
        <w:rPr>
          <w:rFonts w:ascii="Arial" w:hAnsi="Arial" w:cs="Arial"/>
          <w:sz w:val="22"/>
          <w:szCs w:val="22"/>
        </w:rPr>
        <w:t>endo</w:t>
      </w:r>
      <w:r w:rsidR="00672170" w:rsidRPr="00210FBA">
        <w:rPr>
          <w:rFonts w:ascii="Arial" w:hAnsi="Arial" w:cs="Arial"/>
          <w:sz w:val="22"/>
          <w:szCs w:val="22"/>
        </w:rPr>
        <w:t xml:space="preserve"> l’obiettivo prefissato dalla normativa</w:t>
      </w:r>
      <w:r w:rsidR="00CE21CB">
        <w:rPr>
          <w:rFonts w:ascii="Arial" w:hAnsi="Arial" w:cs="Arial"/>
          <w:sz w:val="22"/>
          <w:szCs w:val="22"/>
        </w:rPr>
        <w:t>,</w:t>
      </w:r>
      <w:r w:rsidR="00672170" w:rsidRPr="00210FBA">
        <w:rPr>
          <w:rFonts w:ascii="Arial" w:hAnsi="Arial" w:cs="Arial"/>
          <w:sz w:val="22"/>
          <w:szCs w:val="22"/>
        </w:rPr>
        <w:t xml:space="preserve"> considerato l’elevato numero di acque di balneazione, circa un quarto del totale europeo, e nonostante la forte antropizzazione delle coste, più facilmente soggette a fenomeni di inquinamento</w:t>
      </w:r>
      <w:r w:rsidR="00672170">
        <w:rPr>
          <w:rFonts w:ascii="Arial" w:hAnsi="Arial" w:cs="Arial"/>
          <w:sz w:val="22"/>
          <w:szCs w:val="22"/>
        </w:rPr>
        <w:t>.</w:t>
      </w:r>
    </w:p>
    <w:p w14:paraId="1D56F23B" w14:textId="4DB9AA20" w:rsidR="00820F7B" w:rsidRDefault="00672170" w:rsidP="00672170">
      <w:pPr>
        <w:spacing w:after="120"/>
        <w:jc w:val="both"/>
        <w:rPr>
          <w:rFonts w:ascii="Arial" w:hAnsi="Arial" w:cs="Arial"/>
          <w:sz w:val="22"/>
          <w:szCs w:val="22"/>
        </w:rPr>
      </w:pPr>
      <w:r w:rsidRPr="00E65BBE">
        <w:rPr>
          <w:rFonts w:ascii="Arial" w:hAnsi="Arial" w:cs="Arial"/>
          <w:sz w:val="22"/>
          <w:szCs w:val="22"/>
        </w:rPr>
        <w:t xml:space="preserve">Tenendo conto anche delle acque interdette </w:t>
      </w:r>
      <w:r>
        <w:rPr>
          <w:rFonts w:ascii="Arial" w:hAnsi="Arial" w:cs="Arial"/>
          <w:sz w:val="22"/>
          <w:szCs w:val="22"/>
        </w:rPr>
        <w:t xml:space="preserve">alla balneazione </w:t>
      </w:r>
      <w:r w:rsidRPr="00E65BBE">
        <w:rPr>
          <w:rFonts w:ascii="Arial" w:hAnsi="Arial" w:cs="Arial"/>
          <w:sz w:val="22"/>
          <w:szCs w:val="22"/>
        </w:rPr>
        <w:t xml:space="preserve">(divieti temporanei) per l’intera stagione balneare a causa dei livelli di contaminanti oltre le soglie di rischio per la salute, </w:t>
      </w:r>
      <w:r>
        <w:rPr>
          <w:rFonts w:ascii="Arial" w:hAnsi="Arial" w:cs="Arial"/>
          <w:sz w:val="22"/>
          <w:szCs w:val="22"/>
        </w:rPr>
        <w:t xml:space="preserve">è stato calcolato l’indicatore relativo ai tratti di costa balneabili, dato dalla percentuale della lunghezza della costa balneabile </w:t>
      </w:r>
      <w:r w:rsidR="00723850">
        <w:rPr>
          <w:rFonts w:ascii="Arial" w:hAnsi="Arial" w:cs="Arial"/>
          <w:sz w:val="22"/>
          <w:szCs w:val="22"/>
        </w:rPr>
        <w:t>rispetto a</w:t>
      </w:r>
      <w:r>
        <w:rPr>
          <w:rFonts w:ascii="Arial" w:hAnsi="Arial" w:cs="Arial"/>
          <w:sz w:val="22"/>
          <w:szCs w:val="22"/>
        </w:rPr>
        <w:t xml:space="preserve">lla lunghezza complessiva della linea litoranea. </w:t>
      </w:r>
      <w:r w:rsidR="00723850">
        <w:rPr>
          <w:rFonts w:ascii="Arial" w:hAnsi="Arial" w:cs="Arial"/>
          <w:sz w:val="22"/>
          <w:szCs w:val="22"/>
        </w:rPr>
        <w:t xml:space="preserve">In base a tale indicatore, </w:t>
      </w:r>
      <w:r>
        <w:rPr>
          <w:rFonts w:ascii="Arial" w:hAnsi="Arial" w:cs="Arial"/>
          <w:sz w:val="22"/>
          <w:szCs w:val="22"/>
        </w:rPr>
        <w:t xml:space="preserve">risulta </w:t>
      </w:r>
      <w:r w:rsidRPr="00E65BBE">
        <w:rPr>
          <w:rFonts w:ascii="Arial" w:hAnsi="Arial" w:cs="Arial"/>
          <w:sz w:val="22"/>
          <w:szCs w:val="22"/>
        </w:rPr>
        <w:t>balneabile il 66,</w:t>
      </w:r>
      <w:r>
        <w:rPr>
          <w:rFonts w:ascii="Arial" w:hAnsi="Arial" w:cs="Arial"/>
          <w:sz w:val="22"/>
          <w:szCs w:val="22"/>
        </w:rPr>
        <w:t>9%</w:t>
      </w:r>
      <w:r w:rsidRPr="00E65BBE">
        <w:rPr>
          <w:rFonts w:ascii="Arial" w:hAnsi="Arial" w:cs="Arial"/>
          <w:sz w:val="22"/>
          <w:szCs w:val="22"/>
        </w:rPr>
        <w:t xml:space="preserve"> delle coste </w:t>
      </w:r>
      <w:r w:rsidR="00620410">
        <w:rPr>
          <w:rFonts w:ascii="Arial" w:hAnsi="Arial" w:cs="Arial"/>
          <w:sz w:val="22"/>
          <w:szCs w:val="22"/>
        </w:rPr>
        <w:t xml:space="preserve">marine </w:t>
      </w:r>
      <w:r w:rsidRPr="00E65BBE">
        <w:rPr>
          <w:rFonts w:ascii="Arial" w:hAnsi="Arial" w:cs="Arial"/>
          <w:sz w:val="22"/>
          <w:szCs w:val="22"/>
        </w:rPr>
        <w:t>italiane</w:t>
      </w:r>
      <w:r>
        <w:rPr>
          <w:rFonts w:ascii="Arial" w:hAnsi="Arial" w:cs="Arial"/>
          <w:sz w:val="22"/>
          <w:szCs w:val="22"/>
        </w:rPr>
        <w:t>,</w:t>
      </w:r>
      <w:r w:rsidR="00723850">
        <w:rPr>
          <w:rFonts w:ascii="Arial" w:hAnsi="Arial" w:cs="Arial"/>
          <w:sz w:val="22"/>
          <w:szCs w:val="22"/>
        </w:rPr>
        <w:t xml:space="preserve"> considerato che </w:t>
      </w:r>
      <w:r>
        <w:rPr>
          <w:rFonts w:ascii="Arial" w:hAnsi="Arial" w:cs="Arial"/>
          <w:sz w:val="22"/>
          <w:szCs w:val="22"/>
        </w:rPr>
        <w:t xml:space="preserve">lo 0,9% di costa monitorata non è stata </w:t>
      </w:r>
      <w:r w:rsidR="00132A04">
        <w:rPr>
          <w:rFonts w:ascii="Arial" w:hAnsi="Arial" w:cs="Arial"/>
          <w:sz w:val="22"/>
          <w:szCs w:val="22"/>
        </w:rPr>
        <w:t xml:space="preserve">mai </w:t>
      </w:r>
      <w:r>
        <w:rPr>
          <w:rFonts w:ascii="Arial" w:hAnsi="Arial" w:cs="Arial"/>
          <w:sz w:val="22"/>
          <w:szCs w:val="22"/>
        </w:rPr>
        <w:t xml:space="preserve">aperta durante tutta la stagione balneare 2017. In Sicilia, Campania e Calabria, più del 2% di costa monitorata è </w:t>
      </w:r>
      <w:r w:rsidR="001C5221">
        <w:rPr>
          <w:rFonts w:ascii="Arial" w:hAnsi="Arial" w:cs="Arial"/>
          <w:sz w:val="22"/>
          <w:szCs w:val="22"/>
        </w:rPr>
        <w:t xml:space="preserve">stata interdetta </w:t>
      </w:r>
      <w:r>
        <w:rPr>
          <w:rFonts w:ascii="Arial" w:hAnsi="Arial" w:cs="Arial"/>
          <w:sz w:val="22"/>
          <w:szCs w:val="22"/>
        </w:rPr>
        <w:t>ai bagnanti, soprattutto per la</w:t>
      </w:r>
      <w:r w:rsidRPr="00C3418C">
        <w:rPr>
          <w:rFonts w:ascii="Arial" w:hAnsi="Arial" w:cs="Arial"/>
          <w:sz w:val="22"/>
          <w:szCs w:val="22"/>
        </w:rPr>
        <w:t xml:space="preserve"> presenza di scarichi </w:t>
      </w:r>
      <w:r>
        <w:rPr>
          <w:rFonts w:ascii="Arial" w:hAnsi="Arial" w:cs="Arial"/>
          <w:sz w:val="22"/>
          <w:szCs w:val="22"/>
        </w:rPr>
        <w:t xml:space="preserve">delle acque reflue </w:t>
      </w:r>
      <w:r w:rsidR="00B932B8">
        <w:rPr>
          <w:rFonts w:ascii="Arial" w:hAnsi="Arial" w:cs="Arial"/>
          <w:sz w:val="22"/>
          <w:szCs w:val="22"/>
        </w:rPr>
        <w:t xml:space="preserve">urbane </w:t>
      </w:r>
      <w:r>
        <w:rPr>
          <w:rFonts w:ascii="Arial" w:hAnsi="Arial" w:cs="Arial"/>
          <w:sz w:val="22"/>
          <w:szCs w:val="22"/>
        </w:rPr>
        <w:t xml:space="preserve">che </w:t>
      </w:r>
      <w:r w:rsidRPr="00C3418C">
        <w:rPr>
          <w:rFonts w:ascii="Arial" w:hAnsi="Arial" w:cs="Arial"/>
          <w:sz w:val="22"/>
          <w:szCs w:val="22"/>
        </w:rPr>
        <w:t xml:space="preserve">possono dare origine a fenomeni di </w:t>
      </w:r>
      <w:r>
        <w:rPr>
          <w:rFonts w:ascii="Arial" w:hAnsi="Arial" w:cs="Arial"/>
          <w:sz w:val="22"/>
          <w:szCs w:val="22"/>
        </w:rPr>
        <w:t>inquinamento.</w:t>
      </w:r>
    </w:p>
    <w:p w14:paraId="35815D0F" w14:textId="77777777" w:rsidR="00E64009" w:rsidRDefault="00E64009" w:rsidP="00E64009">
      <w:pPr>
        <w:spacing w:after="120"/>
        <w:jc w:val="both"/>
        <w:rPr>
          <w:rFonts w:ascii="Arial" w:hAnsi="Arial"/>
          <w:iCs/>
          <w:noProof/>
          <w:sz w:val="22"/>
          <w:szCs w:val="22"/>
        </w:rPr>
      </w:pPr>
    </w:p>
    <w:p w14:paraId="4D2571E5" w14:textId="77777777" w:rsidR="00E64009" w:rsidRPr="00E64009" w:rsidRDefault="00E64009" w:rsidP="00E64009">
      <w:pPr>
        <w:spacing w:after="120"/>
        <w:jc w:val="both"/>
        <w:rPr>
          <w:rFonts w:ascii="Arial" w:hAnsi="Arial"/>
          <w:iCs/>
          <w:noProof/>
          <w:sz w:val="22"/>
          <w:szCs w:val="22"/>
        </w:rPr>
      </w:pPr>
    </w:p>
    <w:p w14:paraId="6D1C386D" w14:textId="77777777" w:rsidR="004264AE" w:rsidRDefault="004264AE" w:rsidP="00427FDB">
      <w:pPr>
        <w:spacing w:after="120"/>
        <w:jc w:val="both"/>
        <w:rPr>
          <w:rFonts w:ascii="Arial" w:hAnsi="Arial"/>
          <w:iCs/>
          <w:noProof/>
          <w:sz w:val="22"/>
          <w:szCs w:val="22"/>
        </w:rPr>
      </w:pPr>
    </w:p>
    <w:p w14:paraId="24FD913F" w14:textId="77777777" w:rsidR="00CC0DA7" w:rsidRDefault="00CC0DA7" w:rsidP="00427FDB">
      <w:pPr>
        <w:spacing w:after="120"/>
        <w:jc w:val="both"/>
        <w:rPr>
          <w:rFonts w:ascii="Arial" w:hAnsi="Arial"/>
          <w:iCs/>
          <w:noProof/>
          <w:sz w:val="22"/>
          <w:szCs w:val="22"/>
        </w:rPr>
      </w:pPr>
    </w:p>
    <w:p w14:paraId="2716ED50" w14:textId="77777777" w:rsidR="006566F2" w:rsidRDefault="006566F2" w:rsidP="00427FDB">
      <w:pPr>
        <w:spacing w:after="120"/>
        <w:jc w:val="both"/>
        <w:rPr>
          <w:rFonts w:ascii="Arial" w:hAnsi="Arial"/>
          <w:iCs/>
          <w:noProof/>
          <w:sz w:val="22"/>
          <w:szCs w:val="22"/>
        </w:rPr>
      </w:pPr>
    </w:p>
    <w:p w14:paraId="2EB9F1A8" w14:textId="77777777" w:rsidR="00CC0DA7" w:rsidRDefault="00CC0DA7" w:rsidP="00427FDB">
      <w:pPr>
        <w:spacing w:after="120"/>
        <w:jc w:val="both"/>
        <w:rPr>
          <w:rFonts w:ascii="Arial" w:hAnsi="Arial"/>
          <w:iCs/>
          <w:noProof/>
          <w:sz w:val="22"/>
          <w:szCs w:val="22"/>
        </w:rPr>
      </w:pPr>
    </w:p>
    <w:p w14:paraId="135B7FD3" w14:textId="77777777" w:rsidR="00530415" w:rsidRDefault="00530415" w:rsidP="00427FDB">
      <w:pPr>
        <w:spacing w:after="120"/>
        <w:jc w:val="both"/>
        <w:rPr>
          <w:rFonts w:ascii="Arial" w:hAnsi="Arial"/>
          <w:iCs/>
          <w:noProof/>
          <w:sz w:val="22"/>
          <w:szCs w:val="22"/>
        </w:rPr>
      </w:pPr>
    </w:p>
    <w:p w14:paraId="2E7896B8" w14:textId="77777777" w:rsidR="00CC0DA7" w:rsidRPr="00427FDB" w:rsidRDefault="00CC0DA7" w:rsidP="00427FDB">
      <w:pPr>
        <w:spacing w:after="120"/>
        <w:jc w:val="both"/>
        <w:rPr>
          <w:rFonts w:ascii="Arial" w:hAnsi="Arial"/>
          <w:iCs/>
          <w:noProof/>
          <w:sz w:val="22"/>
          <w:szCs w:val="22"/>
        </w:rPr>
      </w:pPr>
    </w:p>
    <w:p w14:paraId="633ADEC4" w14:textId="5ECFC7A4" w:rsidR="00F262B0" w:rsidRDefault="00672170" w:rsidP="00F262B0">
      <w:pPr>
        <w:pStyle w:val="ATitoloTavolaFigura"/>
        <w:keepNext/>
        <w:spacing w:before="0" w:after="0"/>
        <w:ind w:left="0" w:firstLine="0"/>
        <w:rPr>
          <w:rFonts w:ascii="Arial Narrow" w:hAnsi="Arial Narrow"/>
          <w:b w:val="0"/>
          <w:iCs/>
          <w:noProof/>
          <w:color w:val="1F497D" w:themeColor="text2"/>
          <w:sz w:val="22"/>
          <w:szCs w:val="22"/>
        </w:rPr>
      </w:pPr>
      <w:r w:rsidRPr="00CC09D8">
        <w:rPr>
          <w:rFonts w:ascii="Arial Black" w:hAnsi="Arial Black"/>
          <w:iCs/>
          <w:noProof/>
          <w:color w:val="1F497D" w:themeColor="text2"/>
          <w:sz w:val="22"/>
          <w:szCs w:val="22"/>
        </w:rPr>
        <w:t xml:space="preserve">FIGURA </w:t>
      </w:r>
      <w:r w:rsidR="00C81835">
        <w:rPr>
          <w:rFonts w:ascii="Arial Black" w:hAnsi="Arial Black"/>
          <w:iCs/>
          <w:noProof/>
          <w:color w:val="1F497D" w:themeColor="text2"/>
          <w:sz w:val="22"/>
          <w:szCs w:val="22"/>
        </w:rPr>
        <w:t>6</w:t>
      </w:r>
      <w:r>
        <w:rPr>
          <w:rFonts w:ascii="Arial Black" w:hAnsi="Arial Black"/>
          <w:iCs/>
          <w:noProof/>
          <w:color w:val="1F497D" w:themeColor="text2"/>
          <w:sz w:val="22"/>
          <w:szCs w:val="22"/>
        </w:rPr>
        <w:t>.</w:t>
      </w:r>
      <w:r w:rsidRPr="00DD390F">
        <w:rPr>
          <w:rFonts w:ascii="Arial Black" w:hAnsi="Arial Black"/>
          <w:iCs/>
          <w:noProof/>
          <w:color w:val="1F497D" w:themeColor="text2"/>
          <w:sz w:val="22"/>
          <w:szCs w:val="22"/>
        </w:rPr>
        <w:t xml:space="preserve"> </w:t>
      </w:r>
      <w:r w:rsidRPr="00672170">
        <w:rPr>
          <w:rFonts w:ascii="Arial Narrow" w:hAnsi="Arial Narrow"/>
          <w:iCs/>
          <w:noProof/>
          <w:color w:val="1F497D" w:themeColor="text2"/>
          <w:sz w:val="22"/>
          <w:szCs w:val="22"/>
        </w:rPr>
        <w:t>LUNGHEZZA DELLE ACQUE DI BALNEAZIONE TOTALI E CON QUALIT</w:t>
      </w:r>
      <w:r w:rsidR="004264AE">
        <w:rPr>
          <w:rFonts w:ascii="Arial Narrow" w:hAnsi="Arial Narrow"/>
          <w:iCs/>
          <w:noProof/>
          <w:color w:val="1F497D" w:themeColor="text2"/>
          <w:sz w:val="22"/>
          <w:szCs w:val="22"/>
        </w:rPr>
        <w:t>À</w:t>
      </w:r>
      <w:r w:rsidRPr="00672170">
        <w:rPr>
          <w:rFonts w:ascii="Arial Narrow" w:hAnsi="Arial Narrow"/>
          <w:iCs/>
          <w:noProof/>
          <w:color w:val="1F497D" w:themeColor="text2"/>
          <w:sz w:val="22"/>
          <w:szCs w:val="22"/>
        </w:rPr>
        <w:t xml:space="preserve"> ECCELLENTE </w:t>
      </w:r>
      <w:r w:rsidR="006662D9">
        <w:rPr>
          <w:rFonts w:ascii="Arial Narrow" w:hAnsi="Arial Narrow"/>
          <w:iCs/>
          <w:noProof/>
          <w:color w:val="1F497D" w:themeColor="text2"/>
          <w:sz w:val="22"/>
          <w:szCs w:val="22"/>
        </w:rPr>
        <w:t xml:space="preserve">PER </w:t>
      </w:r>
      <w:r w:rsidRPr="00672170">
        <w:rPr>
          <w:rFonts w:ascii="Arial Narrow" w:hAnsi="Arial Narrow"/>
          <w:iCs/>
          <w:noProof/>
          <w:color w:val="1F497D" w:themeColor="text2"/>
          <w:sz w:val="22"/>
          <w:szCs w:val="22"/>
        </w:rPr>
        <w:t>REGIONE LITORANEA.</w:t>
      </w:r>
      <w:r w:rsidR="00CC0DA7" w:rsidRPr="00CC0DA7">
        <w:rPr>
          <w:rFonts w:ascii="Arial Narrow" w:hAnsi="Arial Narrow"/>
          <w:noProof/>
          <w:sz w:val="15"/>
          <w:szCs w:val="15"/>
        </w:rPr>
        <w:t xml:space="preserve"> </w:t>
      </w:r>
      <w:r>
        <w:rPr>
          <w:rFonts w:ascii="Arial Black" w:hAnsi="Arial Black"/>
          <w:iCs/>
          <w:noProof/>
          <w:color w:val="1F497D" w:themeColor="text2"/>
          <w:sz w:val="22"/>
          <w:szCs w:val="22"/>
        </w:rPr>
        <w:t xml:space="preserve"> </w:t>
      </w:r>
      <w:r w:rsidRPr="00DD390F">
        <w:rPr>
          <w:rFonts w:ascii="Arial Narrow" w:hAnsi="Arial Narrow"/>
          <w:b w:val="0"/>
          <w:iCs/>
          <w:noProof/>
          <w:color w:val="1F497D" w:themeColor="text2"/>
          <w:sz w:val="22"/>
          <w:szCs w:val="22"/>
        </w:rPr>
        <w:t>Ann</w:t>
      </w:r>
      <w:r>
        <w:rPr>
          <w:rFonts w:ascii="Arial Narrow" w:hAnsi="Arial Narrow"/>
          <w:b w:val="0"/>
          <w:iCs/>
          <w:noProof/>
          <w:color w:val="1F497D" w:themeColor="text2"/>
          <w:sz w:val="22"/>
          <w:szCs w:val="22"/>
        </w:rPr>
        <w:t xml:space="preserve">o </w:t>
      </w:r>
      <w:r w:rsidRPr="00DD390F">
        <w:rPr>
          <w:rFonts w:ascii="Arial Narrow" w:hAnsi="Arial Narrow"/>
          <w:b w:val="0"/>
          <w:iCs/>
          <w:noProof/>
          <w:color w:val="1F497D" w:themeColor="text2"/>
          <w:sz w:val="22"/>
          <w:szCs w:val="22"/>
        </w:rPr>
        <w:t>2017, valori percentuali sulla lunghezza totale della linea litoranea</w:t>
      </w:r>
    </w:p>
    <w:p w14:paraId="648101CF" w14:textId="744264D0" w:rsidR="00AC5826" w:rsidRDefault="002F3A78" w:rsidP="00F262B0">
      <w:pPr>
        <w:pStyle w:val="ATitoloTavolaFigura"/>
        <w:keepNext/>
        <w:spacing w:before="0" w:after="0"/>
        <w:ind w:left="0" w:firstLine="0"/>
        <w:rPr>
          <w:rFonts w:ascii="Arial Narrow" w:hAnsi="Arial Narrow"/>
          <w:b w:val="0"/>
          <w:iCs/>
          <w:noProof/>
          <w:color w:val="1F497D" w:themeColor="text2"/>
          <w:sz w:val="22"/>
          <w:szCs w:val="22"/>
        </w:rPr>
      </w:pPr>
      <w:r>
        <w:rPr>
          <w:rFonts w:ascii="Arial Narrow" w:hAnsi="Arial Narrow"/>
          <w:noProof/>
          <w:sz w:val="15"/>
          <w:szCs w:val="15"/>
        </w:rPr>
        <mc:AlternateContent>
          <mc:Choice Requires="wps">
            <w:drawing>
              <wp:anchor distT="0" distB="0" distL="114300" distR="114300" simplePos="0" relativeHeight="251673088" behindDoc="0" locked="0" layoutInCell="1" allowOverlap="1" wp14:anchorId="22D1E0AE" wp14:editId="68A53838">
                <wp:simplePos x="0" y="0"/>
                <wp:positionH relativeFrom="column">
                  <wp:posOffset>-31750</wp:posOffset>
                </wp:positionH>
                <wp:positionV relativeFrom="paragraph">
                  <wp:posOffset>233045</wp:posOffset>
                </wp:positionV>
                <wp:extent cx="320040" cy="215900"/>
                <wp:effectExtent l="0" t="0" r="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5900"/>
                        </a:xfrm>
                        <a:prstGeom prst="rect">
                          <a:avLst/>
                        </a:prstGeom>
                        <a:noFill/>
                        <a:ln w="9525">
                          <a:noFill/>
                          <a:miter lim="800000"/>
                          <a:headEnd/>
                          <a:tailEnd/>
                        </a:ln>
                      </wps:spPr>
                      <wps:txbx>
                        <w:txbxContent>
                          <w:p w14:paraId="683F1581" w14:textId="77777777" w:rsidR="00CC0DA7" w:rsidRPr="00427FDB" w:rsidRDefault="00CC0DA7" w:rsidP="00CC0DA7">
                            <w:pPr>
                              <w:rPr>
                                <w:rFonts w:ascii="Arial Narrow" w:hAnsi="Arial Narrow"/>
                                <w:sz w:val="18"/>
                                <w:szCs w:val="18"/>
                              </w:rPr>
                            </w:pPr>
                            <w:r w:rsidRPr="00427FDB">
                              <w:rPr>
                                <w:rFonts w:ascii="Arial Narrow" w:hAnsi="Arial Narrow"/>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left:0;text-align:left;margin-left:-2.5pt;margin-top:18.35pt;width:25.2pt;height: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" filled="f" stroked="f">
                <v:textbox>
                  <w:txbxContent>
                    <w:p w14:paraId="683F1581" w14:textId="77777777" w:rsidR="00CC0DA7" w:rsidRPr="00427FDB" w:rsidRDefault="00CC0DA7" w:rsidP="00CC0DA7">
                      <w:pPr>
                        <w:rPr>
                          <w:rFonts w:ascii="Arial Narrow" w:hAnsi="Arial Narrow"/>
                          <w:sz w:val="18"/>
                          <w:szCs w:val="18"/>
                        </w:rPr>
                      </w:pPr>
                      <w:r w:rsidRPr="00427FDB">
                        <w:rPr>
                          <w:rFonts w:ascii="Arial Narrow" w:hAnsi="Arial Narrow"/>
                          <w:sz w:val="18"/>
                          <w:szCs w:val="18"/>
                        </w:rPr>
                        <w:t>%</w:t>
                      </w:r>
                    </w:p>
                  </w:txbxContent>
                </v:textbox>
              </v:shape>
            </w:pict>
          </mc:Fallback>
        </mc:AlternateContent>
      </w:r>
    </w:p>
    <w:p w14:paraId="6383B8C7" w14:textId="4E072C22" w:rsidR="00176707" w:rsidRDefault="00192922" w:rsidP="00427FDB">
      <w:pPr>
        <w:pStyle w:val="Default"/>
        <w:spacing w:before="120" w:after="120"/>
        <w:jc w:val="both"/>
        <w:rPr>
          <w:rFonts w:ascii="Arial Narrow" w:hAnsi="Arial Narrow"/>
          <w:color w:val="auto"/>
          <w:sz w:val="15"/>
          <w:szCs w:val="15"/>
        </w:rPr>
      </w:pPr>
      <w:r>
        <w:rPr>
          <w:rFonts w:ascii="Arial Narrow" w:hAnsi="Arial Narrow"/>
          <w:color w:val="auto"/>
          <w:sz w:val="15"/>
          <w:szCs w:val="15"/>
        </w:rPr>
        <w:fldChar w:fldCharType="begin"/>
      </w:r>
      <w:r>
        <w:rPr>
          <w:rFonts w:ascii="Arial Narrow" w:hAnsi="Arial Narrow"/>
          <w:color w:val="auto"/>
          <w:sz w:val="15"/>
          <w:szCs w:val="15"/>
        </w:rPr>
        <w:instrText xml:space="preserve"> LINK Excel.Sheet.12 "C:\\Users\\e.vaccaro\\AppData\\Local\\Temp\\grafici acqua-1.xlsx!balneazione![grafici acqua-1.xlsx]balneazione Grafico 1" "" \a \p </w:instrText>
      </w:r>
      <w:r>
        <w:rPr>
          <w:rFonts w:ascii="Arial Narrow" w:hAnsi="Arial Narrow"/>
          <w:color w:val="auto"/>
          <w:sz w:val="15"/>
          <w:szCs w:val="15"/>
        </w:rPr>
        <w:fldChar w:fldCharType="separate"/>
      </w:r>
      <w:r w:rsidR="006E510C">
        <w:rPr>
          <w:rFonts w:ascii="Arial Narrow" w:hAnsi="Arial Narrow"/>
          <w:color w:val="auto"/>
          <w:sz w:val="15"/>
          <w:szCs w:val="15"/>
        </w:rPr>
        <w:object w:dxaOrig="13348" w:dyaOrig="4515" w14:anchorId="15AC812B">
          <v:shape id="_x0000_i1028" type="#_x0000_t75" style="width:500.55pt;height:169.35pt">
            <v:imagedata r:id="rId18" o:title=""/>
          </v:shape>
        </w:object>
      </w:r>
      <w:r>
        <w:rPr>
          <w:rFonts w:ascii="Arial Narrow" w:hAnsi="Arial Narrow"/>
          <w:color w:val="auto"/>
          <w:sz w:val="15"/>
          <w:szCs w:val="15"/>
        </w:rPr>
        <w:fldChar w:fldCharType="end"/>
      </w:r>
      <w:r w:rsidR="00672170">
        <w:rPr>
          <w:rFonts w:ascii="Arial Narrow" w:hAnsi="Arial Narrow"/>
          <w:color w:val="auto"/>
          <w:sz w:val="15"/>
          <w:szCs w:val="15"/>
        </w:rPr>
        <w:t xml:space="preserve">Fonte: </w:t>
      </w:r>
      <w:r w:rsidR="00672170" w:rsidRPr="00581DEA">
        <w:rPr>
          <w:rFonts w:ascii="Arial Narrow" w:hAnsi="Arial Narrow"/>
          <w:color w:val="auto"/>
          <w:sz w:val="15"/>
          <w:szCs w:val="15"/>
        </w:rPr>
        <w:t>Elaborazioni Istat su dati Ministero della salute e dell’Agenzia europea dell’ambiente</w:t>
      </w:r>
      <w:r w:rsidR="00176707">
        <w:rPr>
          <w:rFonts w:ascii="Arial Narrow" w:hAnsi="Arial Narrow"/>
          <w:color w:val="auto"/>
          <w:sz w:val="15"/>
          <w:szCs w:val="15"/>
        </w:rPr>
        <w:br w:type="page"/>
      </w:r>
    </w:p>
    <w:p w14:paraId="79AE2EE4" w14:textId="5C1D78F2" w:rsidR="00AC5826" w:rsidRPr="00427FDB" w:rsidRDefault="002556BD" w:rsidP="00A11606">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lastRenderedPageBreak/>
        <w:t>Estrazioni di acque minerali</w:t>
      </w:r>
      <w:r w:rsidRPr="001341C5" w:rsidDel="004B758C">
        <w:rPr>
          <w:rFonts w:ascii="Arial" w:hAnsi="Arial" w:cs="Arial"/>
          <w:b/>
          <w:color w:val="1F497D" w:themeColor="text2"/>
          <w:sz w:val="26"/>
          <w:szCs w:val="26"/>
        </w:rPr>
        <w:t xml:space="preserve"> </w:t>
      </w:r>
      <w:r w:rsidR="00420D28">
        <w:rPr>
          <w:rFonts w:ascii="Arial" w:hAnsi="Arial" w:cs="Arial"/>
          <w:b/>
          <w:color w:val="1F497D" w:themeColor="text2"/>
          <w:sz w:val="26"/>
          <w:szCs w:val="26"/>
        </w:rPr>
        <w:t>naturali concentrate</w:t>
      </w:r>
      <w:r w:rsidR="00420D28" w:rsidRPr="00427FDB">
        <w:rPr>
          <w:rFonts w:ascii="Arial" w:hAnsi="Arial" w:cs="Arial"/>
          <w:b/>
          <w:color w:val="1F497D" w:themeColor="text2"/>
          <w:sz w:val="26"/>
          <w:szCs w:val="26"/>
        </w:rPr>
        <w:t xml:space="preserve"> </w:t>
      </w:r>
      <w:r w:rsidR="001341C5" w:rsidRPr="00427FDB">
        <w:rPr>
          <w:rFonts w:ascii="Arial" w:hAnsi="Arial" w:cs="Arial"/>
          <w:b/>
          <w:color w:val="1F497D" w:themeColor="text2"/>
          <w:sz w:val="26"/>
          <w:szCs w:val="26"/>
        </w:rPr>
        <w:t>al Nord</w:t>
      </w:r>
    </w:p>
    <w:p w14:paraId="2A49CAC7" w14:textId="75FD475C" w:rsidR="00860C18" w:rsidRDefault="00860C18" w:rsidP="00860C18">
      <w:pPr>
        <w:pStyle w:val="Default"/>
        <w:spacing w:after="120"/>
        <w:jc w:val="both"/>
        <w:rPr>
          <w:rFonts w:ascii="Arial" w:hAnsi="Arial" w:cs="Arial"/>
          <w:color w:val="auto"/>
          <w:sz w:val="22"/>
          <w:szCs w:val="22"/>
        </w:rPr>
      </w:pPr>
      <w:r w:rsidRPr="00AC5826">
        <w:rPr>
          <w:rFonts w:ascii="Arial" w:hAnsi="Arial" w:cs="Arial"/>
          <w:color w:val="auto"/>
          <w:sz w:val="22"/>
          <w:szCs w:val="22"/>
        </w:rPr>
        <w:t xml:space="preserve">Attraverso la rilevazione “Pressione antropica e rischi naturali. Le attività estrattive da cave e miniere” </w:t>
      </w:r>
      <w:r>
        <w:rPr>
          <w:rFonts w:ascii="Arial" w:hAnsi="Arial" w:cs="Arial"/>
          <w:color w:val="auto"/>
          <w:sz w:val="22"/>
          <w:szCs w:val="22"/>
        </w:rPr>
        <w:t xml:space="preserve">l’Istat </w:t>
      </w:r>
      <w:r w:rsidRPr="00AC5826">
        <w:rPr>
          <w:rFonts w:ascii="Arial" w:hAnsi="Arial" w:cs="Arial"/>
          <w:color w:val="auto"/>
          <w:sz w:val="22"/>
          <w:szCs w:val="22"/>
        </w:rPr>
        <w:t>prod</w:t>
      </w:r>
      <w:r>
        <w:rPr>
          <w:rFonts w:ascii="Arial" w:hAnsi="Arial" w:cs="Arial"/>
          <w:color w:val="auto"/>
          <w:sz w:val="22"/>
          <w:szCs w:val="22"/>
        </w:rPr>
        <w:t>uce</w:t>
      </w:r>
      <w:r w:rsidRPr="00AC5826">
        <w:rPr>
          <w:rFonts w:ascii="Arial" w:hAnsi="Arial" w:cs="Arial"/>
          <w:color w:val="auto"/>
          <w:sz w:val="22"/>
          <w:szCs w:val="22"/>
        </w:rPr>
        <w:t xml:space="preserve"> per la prima volta nel 2019 statistiche a livello regionale sulle estrazioni di acque minerali naturali.</w:t>
      </w:r>
    </w:p>
    <w:p w14:paraId="6BF50823" w14:textId="65A23070" w:rsidR="00246642" w:rsidRDefault="002A2732" w:rsidP="00A11606">
      <w:pPr>
        <w:pStyle w:val="Default"/>
        <w:spacing w:after="120"/>
        <w:jc w:val="both"/>
        <w:rPr>
          <w:rFonts w:ascii="Arial" w:hAnsi="Arial" w:cs="Arial"/>
          <w:color w:val="auto"/>
          <w:sz w:val="22"/>
          <w:szCs w:val="22"/>
        </w:rPr>
      </w:pPr>
      <w:r>
        <w:rPr>
          <w:rFonts w:ascii="Arial" w:hAnsi="Arial" w:cs="Arial"/>
          <w:color w:val="auto"/>
          <w:sz w:val="22"/>
          <w:szCs w:val="22"/>
        </w:rPr>
        <w:t>N</w:t>
      </w:r>
      <w:r w:rsidR="00A11606" w:rsidRPr="00AC5826">
        <w:rPr>
          <w:rFonts w:ascii="Arial" w:hAnsi="Arial" w:cs="Arial"/>
          <w:color w:val="auto"/>
          <w:sz w:val="22"/>
          <w:szCs w:val="22"/>
        </w:rPr>
        <w:t xml:space="preserve">el 2016 le </w:t>
      </w:r>
      <w:r w:rsidR="00420D28">
        <w:rPr>
          <w:rFonts w:ascii="Arial" w:hAnsi="Arial" w:cs="Arial"/>
          <w:color w:val="auto"/>
          <w:sz w:val="22"/>
          <w:szCs w:val="22"/>
        </w:rPr>
        <w:t xml:space="preserve">estrazioni di </w:t>
      </w:r>
      <w:r w:rsidR="00A11606" w:rsidRPr="00AC5826">
        <w:rPr>
          <w:rFonts w:ascii="Arial" w:hAnsi="Arial" w:cs="Arial"/>
          <w:color w:val="auto"/>
          <w:sz w:val="22"/>
          <w:szCs w:val="22"/>
        </w:rPr>
        <w:t xml:space="preserve">acque minerali </w:t>
      </w:r>
      <w:r w:rsidR="00420D28">
        <w:rPr>
          <w:rFonts w:ascii="Arial" w:hAnsi="Arial" w:cs="Arial"/>
          <w:color w:val="auto"/>
          <w:sz w:val="22"/>
          <w:szCs w:val="22"/>
        </w:rPr>
        <w:t xml:space="preserve">utilizzate </w:t>
      </w:r>
      <w:r w:rsidR="00A11606" w:rsidRPr="00AC5826">
        <w:rPr>
          <w:rFonts w:ascii="Arial" w:hAnsi="Arial" w:cs="Arial"/>
          <w:color w:val="auto"/>
          <w:sz w:val="22"/>
          <w:szCs w:val="22"/>
        </w:rPr>
        <w:t xml:space="preserve">a fini di produzione ammontano complessivamente a circa 16,2 milioni di metri cubi, in lieve aumento (+1,2%) </w:t>
      </w:r>
      <w:r w:rsidR="00E16BB9">
        <w:rPr>
          <w:rFonts w:ascii="Arial" w:hAnsi="Arial" w:cs="Arial"/>
          <w:color w:val="auto"/>
          <w:sz w:val="22"/>
          <w:szCs w:val="22"/>
        </w:rPr>
        <w:t>rispetto a</w:t>
      </w:r>
      <w:r w:rsidR="00A11606" w:rsidRPr="00AC5826">
        <w:rPr>
          <w:rFonts w:ascii="Arial" w:hAnsi="Arial" w:cs="Arial"/>
          <w:color w:val="auto"/>
          <w:sz w:val="22"/>
          <w:szCs w:val="22"/>
        </w:rPr>
        <w:t>l 2015. Nel 2016, il 57% del totale nazionale dei prelievi si concentra al Nord</w:t>
      </w:r>
      <w:r w:rsidR="00E16BB9">
        <w:rPr>
          <w:rFonts w:ascii="Arial" w:hAnsi="Arial" w:cs="Arial"/>
          <w:color w:val="auto"/>
          <w:sz w:val="22"/>
          <w:szCs w:val="22"/>
        </w:rPr>
        <w:t>,</w:t>
      </w:r>
      <w:r w:rsidR="00A11606" w:rsidRPr="00AC5826">
        <w:rPr>
          <w:rFonts w:ascii="Arial" w:hAnsi="Arial" w:cs="Arial"/>
          <w:color w:val="auto"/>
          <w:sz w:val="22"/>
          <w:szCs w:val="22"/>
        </w:rPr>
        <w:t xml:space="preserve"> con 9,2 milioni di metri cubi (</w:t>
      </w:r>
      <w:r>
        <w:rPr>
          <w:rFonts w:ascii="Arial" w:hAnsi="Arial" w:cs="Arial"/>
          <w:color w:val="auto"/>
          <w:sz w:val="22"/>
          <w:szCs w:val="22"/>
        </w:rPr>
        <w:t xml:space="preserve">dato </w:t>
      </w:r>
      <w:r w:rsidR="00A11606" w:rsidRPr="00AC5826">
        <w:rPr>
          <w:rFonts w:ascii="Arial" w:hAnsi="Arial" w:cs="Arial"/>
          <w:color w:val="auto"/>
          <w:sz w:val="22"/>
          <w:szCs w:val="22"/>
        </w:rPr>
        <w:t>sostanzialmente stabile rispetto all’anno precedente).</w:t>
      </w:r>
    </w:p>
    <w:p w14:paraId="32460A5F" w14:textId="2E4D38DC" w:rsidR="00246642" w:rsidRDefault="004B758C" w:rsidP="00A11606">
      <w:pPr>
        <w:pStyle w:val="Default"/>
        <w:spacing w:after="120"/>
        <w:jc w:val="both"/>
        <w:rPr>
          <w:rFonts w:ascii="Arial" w:hAnsi="Arial" w:cs="Arial"/>
          <w:color w:val="auto"/>
          <w:sz w:val="22"/>
          <w:szCs w:val="22"/>
        </w:rPr>
      </w:pPr>
      <w:r>
        <w:rPr>
          <w:rFonts w:ascii="Arial" w:hAnsi="Arial" w:cs="Arial"/>
          <w:color w:val="auto"/>
          <w:sz w:val="22"/>
          <w:szCs w:val="22"/>
        </w:rPr>
        <w:t>I</w:t>
      </w:r>
      <w:r w:rsidR="00A11606" w:rsidRPr="00AC5826">
        <w:rPr>
          <w:rFonts w:ascii="Arial" w:hAnsi="Arial" w:cs="Arial"/>
          <w:color w:val="auto"/>
          <w:sz w:val="22"/>
          <w:szCs w:val="22"/>
        </w:rPr>
        <w:t xml:space="preserve"> prelievi </w:t>
      </w:r>
      <w:r>
        <w:rPr>
          <w:rFonts w:ascii="Arial" w:hAnsi="Arial" w:cs="Arial"/>
          <w:color w:val="auto"/>
          <w:sz w:val="22"/>
          <w:szCs w:val="22"/>
        </w:rPr>
        <w:t xml:space="preserve">aumentano </w:t>
      </w:r>
      <w:r w:rsidR="00A11606" w:rsidRPr="00AC5826">
        <w:rPr>
          <w:rFonts w:ascii="Arial" w:hAnsi="Arial" w:cs="Arial"/>
          <w:color w:val="auto"/>
          <w:sz w:val="22"/>
          <w:szCs w:val="22"/>
        </w:rPr>
        <w:t>nell’area Nord-ovest</w:t>
      </w:r>
      <w:r w:rsidR="00E27908">
        <w:rPr>
          <w:rFonts w:ascii="Arial" w:hAnsi="Arial" w:cs="Arial"/>
          <w:color w:val="auto"/>
          <w:sz w:val="22"/>
          <w:szCs w:val="22"/>
        </w:rPr>
        <w:t xml:space="preserve"> </w:t>
      </w:r>
      <w:r w:rsidR="00E27908" w:rsidRPr="00AC5826">
        <w:rPr>
          <w:rFonts w:ascii="Arial" w:hAnsi="Arial" w:cs="Arial"/>
          <w:color w:val="auto"/>
          <w:sz w:val="22"/>
          <w:szCs w:val="22"/>
        </w:rPr>
        <w:t>(+3,9%)</w:t>
      </w:r>
      <w:r w:rsidR="00A11606" w:rsidRPr="00AC5826">
        <w:rPr>
          <w:rFonts w:ascii="Arial" w:hAnsi="Arial" w:cs="Arial"/>
          <w:color w:val="auto"/>
          <w:sz w:val="22"/>
          <w:szCs w:val="22"/>
        </w:rPr>
        <w:t xml:space="preserve">. </w:t>
      </w:r>
      <w:r>
        <w:rPr>
          <w:rFonts w:ascii="Arial" w:hAnsi="Arial" w:cs="Arial"/>
          <w:color w:val="auto"/>
          <w:sz w:val="22"/>
          <w:szCs w:val="22"/>
        </w:rPr>
        <w:t>Crescono</w:t>
      </w:r>
      <w:r w:rsidRPr="00AC5826">
        <w:rPr>
          <w:rFonts w:ascii="Arial" w:hAnsi="Arial" w:cs="Arial"/>
          <w:color w:val="auto"/>
          <w:sz w:val="22"/>
          <w:szCs w:val="22"/>
        </w:rPr>
        <w:t xml:space="preserve"> </w:t>
      </w:r>
      <w:r w:rsidR="00A11606" w:rsidRPr="00AC5826">
        <w:rPr>
          <w:rFonts w:ascii="Arial" w:hAnsi="Arial" w:cs="Arial"/>
          <w:color w:val="auto"/>
          <w:sz w:val="22"/>
          <w:szCs w:val="22"/>
        </w:rPr>
        <w:t>le estrazioni anche al Centro (+4,2%) e al Sud (+2,7%)</w:t>
      </w:r>
      <w:r w:rsidR="002A2732">
        <w:rPr>
          <w:rFonts w:ascii="Arial" w:hAnsi="Arial" w:cs="Arial"/>
          <w:color w:val="auto"/>
          <w:sz w:val="22"/>
          <w:szCs w:val="22"/>
        </w:rPr>
        <w:t>,</w:t>
      </w:r>
      <w:r w:rsidR="00A11606" w:rsidRPr="00AC5826">
        <w:rPr>
          <w:rFonts w:ascii="Arial" w:hAnsi="Arial" w:cs="Arial"/>
          <w:color w:val="auto"/>
          <w:sz w:val="22"/>
          <w:szCs w:val="22"/>
        </w:rPr>
        <w:t xml:space="preserve"> rispettivamente </w:t>
      </w:r>
      <w:r w:rsidR="00E16BB9">
        <w:rPr>
          <w:rFonts w:ascii="Arial" w:hAnsi="Arial" w:cs="Arial"/>
          <w:color w:val="auto"/>
          <w:sz w:val="22"/>
          <w:szCs w:val="22"/>
        </w:rPr>
        <w:t xml:space="preserve">con </w:t>
      </w:r>
      <w:r w:rsidR="00420D28">
        <w:rPr>
          <w:rFonts w:ascii="Arial" w:hAnsi="Arial" w:cs="Arial"/>
          <w:color w:val="auto"/>
          <w:sz w:val="22"/>
          <w:szCs w:val="22"/>
        </w:rPr>
        <w:t xml:space="preserve">circa </w:t>
      </w:r>
      <w:r w:rsidR="00A11606" w:rsidRPr="00AC5826">
        <w:rPr>
          <w:rFonts w:ascii="Arial" w:hAnsi="Arial" w:cs="Arial"/>
          <w:color w:val="auto"/>
          <w:sz w:val="22"/>
          <w:szCs w:val="22"/>
        </w:rPr>
        <w:t>3</w:t>
      </w:r>
      <w:r w:rsidR="00860C18">
        <w:rPr>
          <w:rFonts w:ascii="Arial" w:hAnsi="Arial" w:cs="Arial"/>
          <w:color w:val="auto"/>
          <w:sz w:val="22"/>
          <w:szCs w:val="22"/>
        </w:rPr>
        <w:t>,0</w:t>
      </w:r>
      <w:r w:rsidR="00A11606" w:rsidRPr="00AC5826">
        <w:rPr>
          <w:rFonts w:ascii="Arial" w:hAnsi="Arial" w:cs="Arial"/>
          <w:color w:val="auto"/>
          <w:sz w:val="22"/>
          <w:szCs w:val="22"/>
        </w:rPr>
        <w:t xml:space="preserve"> e 3,3 milioni di </w:t>
      </w:r>
      <w:r w:rsidR="00E16BB9">
        <w:rPr>
          <w:rFonts w:ascii="Arial" w:hAnsi="Arial" w:cs="Arial"/>
          <w:color w:val="auto"/>
          <w:sz w:val="22"/>
          <w:szCs w:val="22"/>
        </w:rPr>
        <w:t>metri cubi</w:t>
      </w:r>
      <w:r w:rsidR="002E52BB" w:rsidRPr="00860C18">
        <w:rPr>
          <w:rFonts w:ascii="Arial" w:hAnsi="Arial" w:cs="Arial"/>
          <w:color w:val="auto"/>
          <w:sz w:val="22"/>
          <w:szCs w:val="22"/>
        </w:rPr>
        <w:t xml:space="preserve"> (Figura </w:t>
      </w:r>
      <w:r w:rsidR="00C81835" w:rsidRPr="00427FDB">
        <w:rPr>
          <w:rFonts w:ascii="Arial" w:hAnsi="Arial" w:cs="Arial"/>
          <w:color w:val="auto"/>
          <w:sz w:val="22"/>
          <w:szCs w:val="22"/>
        </w:rPr>
        <w:t>7</w:t>
      </w:r>
      <w:r w:rsidR="002E52BB" w:rsidRPr="00860C18">
        <w:rPr>
          <w:rFonts w:ascii="Arial" w:hAnsi="Arial" w:cs="Arial"/>
          <w:color w:val="auto"/>
          <w:sz w:val="22"/>
          <w:szCs w:val="22"/>
        </w:rPr>
        <w:t>)</w:t>
      </w:r>
      <w:r w:rsidR="00A11606" w:rsidRPr="00860C18">
        <w:rPr>
          <w:rFonts w:ascii="Arial" w:hAnsi="Arial" w:cs="Arial"/>
          <w:color w:val="auto"/>
          <w:sz w:val="22"/>
          <w:szCs w:val="22"/>
        </w:rPr>
        <w:t>. In controtendenza</w:t>
      </w:r>
      <w:r w:rsidR="00A11606" w:rsidRPr="00AC5826">
        <w:rPr>
          <w:rFonts w:ascii="Arial" w:hAnsi="Arial" w:cs="Arial"/>
          <w:color w:val="auto"/>
          <w:sz w:val="22"/>
          <w:szCs w:val="22"/>
        </w:rPr>
        <w:t xml:space="preserve"> </w:t>
      </w:r>
      <w:r>
        <w:rPr>
          <w:rFonts w:ascii="Arial" w:hAnsi="Arial" w:cs="Arial"/>
          <w:color w:val="auto"/>
          <w:sz w:val="22"/>
          <w:szCs w:val="22"/>
        </w:rPr>
        <w:t>so</w:t>
      </w:r>
      <w:r w:rsidR="00A11606" w:rsidRPr="00AC5826">
        <w:rPr>
          <w:rFonts w:ascii="Arial" w:hAnsi="Arial" w:cs="Arial"/>
          <w:color w:val="auto"/>
          <w:sz w:val="22"/>
          <w:szCs w:val="22"/>
        </w:rPr>
        <w:t xml:space="preserve">no </w:t>
      </w:r>
      <w:r>
        <w:rPr>
          <w:rFonts w:ascii="Arial" w:hAnsi="Arial" w:cs="Arial"/>
          <w:color w:val="auto"/>
          <w:sz w:val="22"/>
          <w:szCs w:val="22"/>
        </w:rPr>
        <w:t>il</w:t>
      </w:r>
      <w:r w:rsidR="00A11606" w:rsidRPr="00AC5826">
        <w:rPr>
          <w:rFonts w:ascii="Arial" w:hAnsi="Arial" w:cs="Arial"/>
          <w:color w:val="auto"/>
          <w:sz w:val="22"/>
          <w:szCs w:val="22"/>
        </w:rPr>
        <w:t xml:space="preserve"> Nord-est (-6,2%) e le Isole (-4,6%). Fra le regioni, </w:t>
      </w:r>
      <w:r w:rsidR="00E16BB9" w:rsidRPr="00AC5826">
        <w:rPr>
          <w:rFonts w:ascii="Arial" w:hAnsi="Arial" w:cs="Arial"/>
          <w:color w:val="auto"/>
          <w:sz w:val="22"/>
          <w:szCs w:val="22"/>
        </w:rPr>
        <w:t xml:space="preserve">è in testa </w:t>
      </w:r>
      <w:r w:rsidR="00A11606" w:rsidRPr="00AC5826">
        <w:rPr>
          <w:rFonts w:ascii="Arial" w:hAnsi="Arial" w:cs="Arial"/>
          <w:color w:val="auto"/>
          <w:sz w:val="22"/>
          <w:szCs w:val="22"/>
        </w:rPr>
        <w:t>la Lombardia</w:t>
      </w:r>
      <w:r w:rsidR="00E16BB9">
        <w:rPr>
          <w:rFonts w:ascii="Arial" w:hAnsi="Arial" w:cs="Arial"/>
          <w:color w:val="auto"/>
          <w:sz w:val="22"/>
          <w:szCs w:val="22"/>
        </w:rPr>
        <w:t xml:space="preserve"> con</w:t>
      </w:r>
      <w:r w:rsidR="00933CE3">
        <w:rPr>
          <w:rFonts w:ascii="Arial" w:hAnsi="Arial" w:cs="Arial"/>
          <w:color w:val="auto"/>
          <w:sz w:val="22"/>
          <w:szCs w:val="22"/>
        </w:rPr>
        <w:t xml:space="preserve"> </w:t>
      </w:r>
      <w:r w:rsidR="00A11606" w:rsidRPr="00AC5826">
        <w:rPr>
          <w:rFonts w:ascii="Arial" w:hAnsi="Arial" w:cs="Arial"/>
          <w:color w:val="auto"/>
          <w:sz w:val="22"/>
          <w:szCs w:val="22"/>
        </w:rPr>
        <w:t xml:space="preserve">poco meno di 3,3 milioni </w:t>
      </w:r>
      <w:r w:rsidR="00933CE3">
        <w:rPr>
          <w:rFonts w:ascii="Arial" w:hAnsi="Arial" w:cs="Arial"/>
          <w:color w:val="auto"/>
          <w:sz w:val="22"/>
          <w:szCs w:val="22"/>
        </w:rPr>
        <w:t xml:space="preserve">di </w:t>
      </w:r>
      <w:r w:rsidR="005B3E83" w:rsidRPr="005B3E83">
        <w:rPr>
          <w:rFonts w:ascii="Arial" w:hAnsi="Arial" w:cs="Arial"/>
          <w:color w:val="auto"/>
          <w:sz w:val="22"/>
          <w:szCs w:val="22"/>
        </w:rPr>
        <w:t>metri cubi</w:t>
      </w:r>
      <w:r w:rsidR="005B3E83" w:rsidRPr="00AC5826">
        <w:rPr>
          <w:rFonts w:ascii="Arial" w:hAnsi="Arial" w:cs="Arial"/>
          <w:color w:val="auto"/>
          <w:sz w:val="22"/>
          <w:szCs w:val="22"/>
        </w:rPr>
        <w:t xml:space="preserve"> </w:t>
      </w:r>
      <w:r w:rsidR="00A11606" w:rsidRPr="00AC5826">
        <w:rPr>
          <w:rFonts w:ascii="Arial" w:hAnsi="Arial" w:cs="Arial"/>
          <w:color w:val="auto"/>
          <w:sz w:val="22"/>
          <w:szCs w:val="22"/>
        </w:rPr>
        <w:t xml:space="preserve">(+1,5% sul 2015), </w:t>
      </w:r>
      <w:r w:rsidR="00E16BB9">
        <w:rPr>
          <w:rFonts w:ascii="Arial" w:hAnsi="Arial" w:cs="Arial"/>
          <w:color w:val="auto"/>
          <w:sz w:val="22"/>
          <w:szCs w:val="22"/>
        </w:rPr>
        <w:t xml:space="preserve">la quale, </w:t>
      </w:r>
      <w:r w:rsidR="00A11606" w:rsidRPr="00AC5826">
        <w:rPr>
          <w:rFonts w:ascii="Arial" w:hAnsi="Arial" w:cs="Arial"/>
          <w:color w:val="auto"/>
          <w:sz w:val="22"/>
          <w:szCs w:val="22"/>
        </w:rPr>
        <w:t>insieme a Piemonte e Veneto</w:t>
      </w:r>
      <w:r w:rsidR="00E16BB9">
        <w:rPr>
          <w:rFonts w:ascii="Arial" w:hAnsi="Arial" w:cs="Arial"/>
          <w:color w:val="auto"/>
          <w:sz w:val="22"/>
          <w:szCs w:val="22"/>
        </w:rPr>
        <w:t>,</w:t>
      </w:r>
      <w:r w:rsidR="00A11606" w:rsidRPr="00AC5826">
        <w:rPr>
          <w:rFonts w:ascii="Arial" w:hAnsi="Arial" w:cs="Arial"/>
          <w:color w:val="auto"/>
          <w:sz w:val="22"/>
          <w:szCs w:val="22"/>
        </w:rPr>
        <w:t xml:space="preserve"> conta il 50,7% dei prelievi di acque minerali italiane. Rappresentative anche la Campania con 1,4 milioni di metri cubi e l’Umbria </w:t>
      </w:r>
      <w:r w:rsidR="00860C18">
        <w:rPr>
          <w:rFonts w:ascii="Arial" w:hAnsi="Arial" w:cs="Arial"/>
          <w:color w:val="auto"/>
          <w:sz w:val="22"/>
          <w:szCs w:val="22"/>
        </w:rPr>
        <w:t xml:space="preserve">con </w:t>
      </w:r>
      <w:r w:rsidR="00A11606" w:rsidRPr="00AC5826">
        <w:rPr>
          <w:rFonts w:ascii="Arial" w:hAnsi="Arial" w:cs="Arial"/>
          <w:color w:val="auto"/>
          <w:sz w:val="22"/>
          <w:szCs w:val="22"/>
        </w:rPr>
        <w:t>1,1</w:t>
      </w:r>
      <w:r w:rsidR="00860C18">
        <w:rPr>
          <w:rFonts w:ascii="Arial" w:hAnsi="Arial" w:cs="Arial"/>
          <w:color w:val="auto"/>
          <w:sz w:val="22"/>
          <w:szCs w:val="22"/>
        </w:rPr>
        <w:t xml:space="preserve"> milioni di metri cubi</w:t>
      </w:r>
      <w:r w:rsidR="00A11606" w:rsidRPr="00AC5826">
        <w:rPr>
          <w:rFonts w:ascii="Arial" w:hAnsi="Arial" w:cs="Arial"/>
          <w:color w:val="auto"/>
          <w:sz w:val="22"/>
          <w:szCs w:val="22"/>
        </w:rPr>
        <w:t>.</w:t>
      </w:r>
    </w:p>
    <w:p w14:paraId="4408A877" w14:textId="45831ED8" w:rsidR="00FD11F0" w:rsidRDefault="00A11606" w:rsidP="00A11606">
      <w:pPr>
        <w:pStyle w:val="Default"/>
        <w:spacing w:after="120"/>
        <w:jc w:val="both"/>
        <w:rPr>
          <w:rFonts w:ascii="Arial" w:hAnsi="Arial" w:cs="Arial"/>
          <w:color w:val="auto"/>
          <w:sz w:val="22"/>
          <w:szCs w:val="22"/>
        </w:rPr>
      </w:pPr>
      <w:r w:rsidRPr="00AC5826">
        <w:rPr>
          <w:rFonts w:ascii="Arial" w:hAnsi="Arial" w:cs="Arial"/>
          <w:color w:val="auto"/>
          <w:sz w:val="22"/>
          <w:szCs w:val="22"/>
        </w:rPr>
        <w:t>Nei siti estrattivi autorizzati operano 124 imprese</w:t>
      </w:r>
      <w:r w:rsidR="00BB378D">
        <w:rPr>
          <w:rFonts w:ascii="Arial" w:hAnsi="Arial" w:cs="Arial"/>
          <w:color w:val="auto"/>
          <w:sz w:val="22"/>
          <w:szCs w:val="22"/>
        </w:rPr>
        <w:t xml:space="preserve">, di cui </w:t>
      </w:r>
      <w:r w:rsidRPr="00AC5826">
        <w:rPr>
          <w:rFonts w:ascii="Arial" w:hAnsi="Arial" w:cs="Arial"/>
          <w:color w:val="auto"/>
          <w:sz w:val="22"/>
          <w:szCs w:val="22"/>
        </w:rPr>
        <w:t>il 42,7% si trova al Nord e il 30,6% al Centro.</w:t>
      </w:r>
    </w:p>
    <w:p w14:paraId="1B33C1C9" w14:textId="66C06178" w:rsidR="00441C1C" w:rsidRDefault="002A2732" w:rsidP="00A11606">
      <w:pPr>
        <w:pStyle w:val="Default"/>
        <w:spacing w:after="120"/>
        <w:jc w:val="both"/>
        <w:rPr>
          <w:rFonts w:ascii="Arial" w:hAnsi="Arial" w:cs="Arial"/>
          <w:color w:val="auto"/>
          <w:sz w:val="22"/>
          <w:szCs w:val="22"/>
        </w:rPr>
      </w:pPr>
      <w:r>
        <w:rPr>
          <w:rFonts w:ascii="Arial" w:hAnsi="Arial" w:cs="Arial"/>
          <w:color w:val="auto"/>
          <w:sz w:val="22"/>
          <w:szCs w:val="22"/>
        </w:rPr>
        <w:t>Rispetto al 2015</w:t>
      </w:r>
      <w:r w:rsidR="00A11606" w:rsidRPr="00AC5826">
        <w:rPr>
          <w:rFonts w:ascii="Arial" w:hAnsi="Arial" w:cs="Arial"/>
          <w:color w:val="auto"/>
          <w:sz w:val="22"/>
          <w:szCs w:val="22"/>
        </w:rPr>
        <w:t xml:space="preserve">, </w:t>
      </w:r>
      <w:r w:rsidR="007552AD">
        <w:rPr>
          <w:rFonts w:ascii="Arial" w:hAnsi="Arial" w:cs="Arial"/>
          <w:color w:val="auto"/>
          <w:sz w:val="22"/>
          <w:szCs w:val="22"/>
        </w:rPr>
        <w:t xml:space="preserve">nell’ultimo anno osservato </w:t>
      </w:r>
      <w:r w:rsidR="00A11606" w:rsidRPr="00AC5826">
        <w:rPr>
          <w:rFonts w:ascii="Arial" w:hAnsi="Arial" w:cs="Arial"/>
          <w:color w:val="auto"/>
          <w:sz w:val="22"/>
          <w:szCs w:val="22"/>
        </w:rPr>
        <w:t>le regioni mostrano andamenti differenziati</w:t>
      </w:r>
      <w:r w:rsidR="007552AD">
        <w:rPr>
          <w:rFonts w:ascii="Arial" w:hAnsi="Arial" w:cs="Arial"/>
          <w:color w:val="auto"/>
          <w:sz w:val="22"/>
          <w:szCs w:val="22"/>
        </w:rPr>
        <w:t xml:space="preserve"> nei prelievi</w:t>
      </w:r>
      <w:r w:rsidR="00A11606" w:rsidRPr="00AC5826">
        <w:rPr>
          <w:rFonts w:ascii="Arial" w:hAnsi="Arial" w:cs="Arial"/>
          <w:color w:val="auto"/>
          <w:sz w:val="22"/>
          <w:szCs w:val="22"/>
        </w:rPr>
        <w:t xml:space="preserve">. </w:t>
      </w:r>
      <w:r w:rsidR="007552AD">
        <w:rPr>
          <w:rFonts w:ascii="Arial" w:hAnsi="Arial" w:cs="Arial"/>
          <w:color w:val="auto"/>
          <w:sz w:val="22"/>
          <w:szCs w:val="22"/>
        </w:rPr>
        <w:t>I</w:t>
      </w:r>
      <w:r w:rsidR="007552AD" w:rsidRPr="00AC5826">
        <w:rPr>
          <w:rFonts w:ascii="Arial" w:hAnsi="Arial" w:cs="Arial"/>
          <w:color w:val="auto"/>
          <w:sz w:val="22"/>
          <w:szCs w:val="22"/>
        </w:rPr>
        <w:t xml:space="preserve"> maggiori aumenti si registrano in Calabria e </w:t>
      </w:r>
      <w:r w:rsidR="00132A04">
        <w:rPr>
          <w:rFonts w:ascii="Arial" w:hAnsi="Arial" w:cs="Arial"/>
          <w:color w:val="auto"/>
          <w:sz w:val="22"/>
          <w:szCs w:val="22"/>
        </w:rPr>
        <w:t xml:space="preserve">nelle </w:t>
      </w:r>
      <w:r w:rsidR="007552AD" w:rsidRPr="00AC5826">
        <w:rPr>
          <w:rFonts w:ascii="Arial" w:hAnsi="Arial" w:cs="Arial"/>
          <w:color w:val="auto"/>
          <w:sz w:val="22"/>
          <w:szCs w:val="22"/>
        </w:rPr>
        <w:t>Marche (+8,7%), seguite dal Piemonte (+7,6%).</w:t>
      </w:r>
      <w:r w:rsidR="007552AD">
        <w:rPr>
          <w:rFonts w:ascii="Arial" w:hAnsi="Arial" w:cs="Arial"/>
          <w:color w:val="auto"/>
          <w:sz w:val="22"/>
          <w:szCs w:val="22"/>
        </w:rPr>
        <w:t xml:space="preserve"> </w:t>
      </w:r>
      <w:r>
        <w:rPr>
          <w:rFonts w:ascii="Arial" w:hAnsi="Arial" w:cs="Arial"/>
          <w:color w:val="auto"/>
          <w:sz w:val="22"/>
          <w:szCs w:val="22"/>
        </w:rPr>
        <w:t>Nel</w:t>
      </w:r>
      <w:r w:rsidR="00A11606" w:rsidRPr="00AC5826">
        <w:rPr>
          <w:rFonts w:ascii="Arial" w:hAnsi="Arial" w:cs="Arial"/>
          <w:color w:val="auto"/>
          <w:sz w:val="22"/>
          <w:szCs w:val="22"/>
        </w:rPr>
        <w:t xml:space="preserve"> Lazio la significativa variazione </w:t>
      </w:r>
      <w:r w:rsidR="007552AD">
        <w:rPr>
          <w:rFonts w:ascii="Arial" w:hAnsi="Arial" w:cs="Arial"/>
          <w:color w:val="auto"/>
          <w:sz w:val="22"/>
          <w:szCs w:val="22"/>
        </w:rPr>
        <w:t xml:space="preserve">dei volumi estratti </w:t>
      </w:r>
      <w:r w:rsidR="00A11606" w:rsidRPr="00AC5826">
        <w:rPr>
          <w:rFonts w:ascii="Arial" w:hAnsi="Arial" w:cs="Arial"/>
          <w:color w:val="auto"/>
          <w:sz w:val="22"/>
          <w:szCs w:val="22"/>
        </w:rPr>
        <w:t>è da ascriversi a imprese che, secondo quanto comunicato dalla Regione, non risulta</w:t>
      </w:r>
      <w:r w:rsidR="00BB378D">
        <w:rPr>
          <w:rFonts w:ascii="Arial" w:hAnsi="Arial" w:cs="Arial"/>
          <w:color w:val="auto"/>
          <w:sz w:val="22"/>
          <w:szCs w:val="22"/>
        </w:rPr>
        <w:t>va</w:t>
      </w:r>
      <w:r w:rsidR="00A11606" w:rsidRPr="00AC5826">
        <w:rPr>
          <w:rFonts w:ascii="Arial" w:hAnsi="Arial" w:cs="Arial"/>
          <w:color w:val="auto"/>
          <w:sz w:val="22"/>
          <w:szCs w:val="22"/>
        </w:rPr>
        <w:t>no in produzione nel 2015</w:t>
      </w:r>
      <w:r>
        <w:rPr>
          <w:rFonts w:ascii="Arial" w:hAnsi="Arial" w:cs="Arial"/>
          <w:color w:val="auto"/>
          <w:sz w:val="22"/>
          <w:szCs w:val="22"/>
        </w:rPr>
        <w:t xml:space="preserve">. </w:t>
      </w:r>
      <w:r w:rsidR="00A11606" w:rsidRPr="00AC5826">
        <w:rPr>
          <w:rFonts w:ascii="Arial" w:hAnsi="Arial" w:cs="Arial"/>
          <w:color w:val="auto"/>
          <w:sz w:val="22"/>
          <w:szCs w:val="22"/>
        </w:rPr>
        <w:t>Sono, invece, in calo i prelievi in Liguria e Veneto rispettivamente del 9,5% e del 9,0%.</w:t>
      </w:r>
    </w:p>
    <w:p w14:paraId="05691A36" w14:textId="7C80AA4B" w:rsidR="00F060E7" w:rsidRPr="00F060E7" w:rsidRDefault="00A11606" w:rsidP="00F060E7">
      <w:pPr>
        <w:pStyle w:val="Default"/>
        <w:spacing w:after="120"/>
        <w:jc w:val="both"/>
        <w:rPr>
          <w:rFonts w:ascii="Arial" w:hAnsi="Arial" w:cs="Arial"/>
          <w:color w:val="auto"/>
          <w:sz w:val="22"/>
          <w:szCs w:val="22"/>
        </w:rPr>
      </w:pPr>
      <w:r w:rsidRPr="00AC5826">
        <w:rPr>
          <w:rFonts w:ascii="Arial" w:hAnsi="Arial" w:cs="Arial"/>
          <w:color w:val="auto"/>
          <w:sz w:val="22"/>
          <w:szCs w:val="22"/>
        </w:rPr>
        <w:t>L’indicatore Intensità di estrazione (IE) delle acque minerali (rapporto fra le quantità estratte e la relativa superficie territoriale</w:t>
      </w:r>
      <w:r w:rsidR="002A2732">
        <w:rPr>
          <w:rFonts w:ascii="Arial" w:hAnsi="Arial" w:cs="Arial"/>
          <w:color w:val="auto"/>
          <w:sz w:val="22"/>
          <w:szCs w:val="22"/>
        </w:rPr>
        <w:t>)</w:t>
      </w:r>
      <w:r w:rsidR="007552AD">
        <w:rPr>
          <w:rFonts w:ascii="Arial" w:hAnsi="Arial" w:cs="Arial"/>
          <w:color w:val="auto"/>
          <w:sz w:val="22"/>
          <w:szCs w:val="22"/>
        </w:rPr>
        <w:t>,</w:t>
      </w:r>
      <w:r w:rsidRPr="00AC5826">
        <w:rPr>
          <w:rFonts w:ascii="Arial" w:hAnsi="Arial" w:cs="Arial"/>
          <w:color w:val="auto"/>
          <w:sz w:val="22"/>
          <w:szCs w:val="22"/>
        </w:rPr>
        <w:t xml:space="preserve"> </w:t>
      </w:r>
      <w:r w:rsidR="007552AD">
        <w:rPr>
          <w:rFonts w:ascii="Arial" w:hAnsi="Arial" w:cs="Arial"/>
          <w:color w:val="auto"/>
          <w:sz w:val="22"/>
          <w:szCs w:val="22"/>
        </w:rPr>
        <w:t>calcolato a livello nazionale nel</w:t>
      </w:r>
      <w:r w:rsidR="002A2732" w:rsidRPr="008E0FE3">
        <w:rPr>
          <w:rFonts w:ascii="Arial" w:hAnsi="Arial" w:cs="Arial"/>
          <w:color w:val="auto"/>
          <w:sz w:val="22"/>
          <w:szCs w:val="22"/>
        </w:rPr>
        <w:t xml:space="preserve"> 2016</w:t>
      </w:r>
      <w:r w:rsidR="007552AD">
        <w:rPr>
          <w:rFonts w:ascii="Arial" w:hAnsi="Arial" w:cs="Arial"/>
          <w:color w:val="auto"/>
          <w:sz w:val="22"/>
          <w:szCs w:val="22"/>
        </w:rPr>
        <w:t>,</w:t>
      </w:r>
      <w:r w:rsidR="002A2732" w:rsidRPr="008E0FE3">
        <w:rPr>
          <w:rFonts w:ascii="Arial" w:hAnsi="Arial" w:cs="Arial"/>
          <w:color w:val="auto"/>
          <w:sz w:val="22"/>
          <w:szCs w:val="22"/>
        </w:rPr>
        <w:t xml:space="preserve"> </w:t>
      </w:r>
      <w:r w:rsidRPr="00AC5826">
        <w:rPr>
          <w:rFonts w:ascii="Arial" w:hAnsi="Arial" w:cs="Arial"/>
          <w:color w:val="auto"/>
          <w:sz w:val="22"/>
          <w:szCs w:val="22"/>
        </w:rPr>
        <w:t>risulta pari a 54</w:t>
      </w:r>
      <w:r w:rsidR="00441C1C">
        <w:rPr>
          <w:rFonts w:ascii="Arial" w:hAnsi="Arial" w:cs="Arial"/>
          <w:color w:val="auto"/>
          <w:sz w:val="22"/>
          <w:szCs w:val="22"/>
        </w:rPr>
        <w:t xml:space="preserve"> metri cubi</w:t>
      </w:r>
      <w:r w:rsidRPr="00AC5826">
        <w:rPr>
          <w:rFonts w:ascii="Arial" w:hAnsi="Arial" w:cs="Arial"/>
          <w:color w:val="auto"/>
          <w:sz w:val="22"/>
          <w:szCs w:val="22"/>
        </w:rPr>
        <w:t xml:space="preserve"> per </w:t>
      </w:r>
      <w:r w:rsidR="00441C1C">
        <w:rPr>
          <w:rFonts w:ascii="Arial" w:hAnsi="Arial" w:cs="Arial"/>
          <w:color w:val="auto"/>
          <w:sz w:val="22"/>
          <w:szCs w:val="22"/>
        </w:rPr>
        <w:t>chilometro quadrato</w:t>
      </w:r>
      <w:r w:rsidRPr="00AC5826">
        <w:rPr>
          <w:rFonts w:ascii="Arial" w:hAnsi="Arial" w:cs="Arial"/>
          <w:color w:val="auto"/>
          <w:sz w:val="22"/>
          <w:szCs w:val="22"/>
        </w:rPr>
        <w:t xml:space="preserve">. </w:t>
      </w:r>
      <w:r w:rsidR="00BB378D">
        <w:rPr>
          <w:rFonts w:ascii="Arial" w:hAnsi="Arial" w:cs="Arial"/>
          <w:color w:val="auto"/>
          <w:sz w:val="22"/>
          <w:szCs w:val="22"/>
        </w:rPr>
        <w:t>U</w:t>
      </w:r>
      <w:r w:rsidR="00BB378D" w:rsidRPr="00AC5826">
        <w:rPr>
          <w:rFonts w:ascii="Arial" w:hAnsi="Arial" w:cs="Arial"/>
          <w:color w:val="auto"/>
          <w:sz w:val="22"/>
          <w:szCs w:val="22"/>
        </w:rPr>
        <w:t xml:space="preserve">n </w:t>
      </w:r>
      <w:r w:rsidRPr="00AC5826">
        <w:rPr>
          <w:rFonts w:ascii="Arial" w:hAnsi="Arial" w:cs="Arial"/>
          <w:color w:val="auto"/>
          <w:sz w:val="22"/>
          <w:szCs w:val="22"/>
        </w:rPr>
        <w:t>valore molto superiore al</w:t>
      </w:r>
      <w:r w:rsidR="00BB378D">
        <w:rPr>
          <w:rFonts w:ascii="Arial" w:hAnsi="Arial" w:cs="Arial"/>
          <w:color w:val="auto"/>
          <w:sz w:val="22"/>
          <w:szCs w:val="22"/>
        </w:rPr>
        <w:t>l</w:t>
      </w:r>
      <w:r w:rsidRPr="00AC5826">
        <w:rPr>
          <w:rFonts w:ascii="Arial" w:hAnsi="Arial" w:cs="Arial"/>
          <w:color w:val="auto"/>
          <w:sz w:val="22"/>
          <w:szCs w:val="22"/>
        </w:rPr>
        <w:t xml:space="preserve">a media nazionale </w:t>
      </w:r>
      <w:r w:rsidR="00BB378D">
        <w:rPr>
          <w:rFonts w:ascii="Arial" w:hAnsi="Arial" w:cs="Arial"/>
          <w:color w:val="auto"/>
          <w:sz w:val="22"/>
          <w:szCs w:val="22"/>
        </w:rPr>
        <w:t>s</w:t>
      </w:r>
      <w:r w:rsidR="00BB378D" w:rsidRPr="00AC5826">
        <w:rPr>
          <w:rFonts w:ascii="Arial" w:hAnsi="Arial" w:cs="Arial"/>
          <w:color w:val="auto"/>
          <w:sz w:val="22"/>
          <w:szCs w:val="22"/>
        </w:rPr>
        <w:t xml:space="preserve">i registra </w:t>
      </w:r>
      <w:r w:rsidRPr="00AC5826">
        <w:rPr>
          <w:rFonts w:ascii="Arial" w:hAnsi="Arial" w:cs="Arial"/>
          <w:color w:val="auto"/>
          <w:sz w:val="22"/>
          <w:szCs w:val="22"/>
        </w:rPr>
        <w:t>nell’area Nord-ovest del Paese (106</w:t>
      </w:r>
      <w:r w:rsidR="00441C1C">
        <w:rPr>
          <w:rFonts w:ascii="Arial" w:hAnsi="Arial" w:cs="Arial"/>
          <w:color w:val="auto"/>
          <w:sz w:val="22"/>
          <w:szCs w:val="22"/>
        </w:rPr>
        <w:t xml:space="preserve"> metri cubi</w:t>
      </w:r>
      <w:r w:rsidR="002A2732">
        <w:rPr>
          <w:rFonts w:ascii="Arial" w:hAnsi="Arial" w:cs="Arial"/>
          <w:color w:val="auto"/>
          <w:sz w:val="22"/>
          <w:szCs w:val="22"/>
          <w:vertAlign w:val="superscript"/>
        </w:rPr>
        <w:t xml:space="preserve"> </w:t>
      </w:r>
      <w:r w:rsidRPr="00AC5826">
        <w:rPr>
          <w:rFonts w:ascii="Arial" w:hAnsi="Arial" w:cs="Arial"/>
          <w:color w:val="auto"/>
          <w:sz w:val="22"/>
          <w:szCs w:val="22"/>
        </w:rPr>
        <w:t xml:space="preserve">per </w:t>
      </w:r>
      <w:r w:rsidR="00441C1C">
        <w:rPr>
          <w:rFonts w:ascii="Arial" w:hAnsi="Arial" w:cs="Arial"/>
          <w:color w:val="auto"/>
          <w:sz w:val="22"/>
          <w:szCs w:val="22"/>
        </w:rPr>
        <w:t>chilometro quadrato</w:t>
      </w:r>
      <w:r w:rsidRPr="00AC5826">
        <w:rPr>
          <w:rFonts w:ascii="Arial" w:hAnsi="Arial" w:cs="Arial"/>
          <w:color w:val="auto"/>
          <w:sz w:val="22"/>
          <w:szCs w:val="22"/>
        </w:rPr>
        <w:t xml:space="preserve">), </w:t>
      </w:r>
      <w:r w:rsidR="00BB378D">
        <w:rPr>
          <w:rFonts w:ascii="Arial" w:hAnsi="Arial" w:cs="Arial"/>
          <w:color w:val="auto"/>
          <w:sz w:val="22"/>
          <w:szCs w:val="22"/>
        </w:rPr>
        <w:t>a causa</w:t>
      </w:r>
      <w:r w:rsidRPr="00AC5826">
        <w:rPr>
          <w:rFonts w:ascii="Arial" w:hAnsi="Arial" w:cs="Arial"/>
          <w:color w:val="auto"/>
          <w:sz w:val="22"/>
          <w:szCs w:val="22"/>
        </w:rPr>
        <w:t xml:space="preserve"> </w:t>
      </w:r>
      <w:r w:rsidR="00BB378D" w:rsidRPr="00AC5826">
        <w:rPr>
          <w:rFonts w:ascii="Arial" w:hAnsi="Arial" w:cs="Arial"/>
          <w:color w:val="auto"/>
          <w:sz w:val="22"/>
          <w:szCs w:val="22"/>
        </w:rPr>
        <w:t xml:space="preserve">soprattutto </w:t>
      </w:r>
      <w:r w:rsidRPr="00AC5826">
        <w:rPr>
          <w:rFonts w:ascii="Arial" w:hAnsi="Arial" w:cs="Arial"/>
          <w:color w:val="auto"/>
          <w:sz w:val="22"/>
          <w:szCs w:val="22"/>
        </w:rPr>
        <w:t>d</w:t>
      </w:r>
      <w:r w:rsidR="00BB378D">
        <w:rPr>
          <w:rFonts w:ascii="Arial" w:hAnsi="Arial" w:cs="Arial"/>
          <w:color w:val="auto"/>
          <w:sz w:val="22"/>
          <w:szCs w:val="22"/>
        </w:rPr>
        <w:t>ell’</w:t>
      </w:r>
      <w:r w:rsidRPr="00AC5826">
        <w:rPr>
          <w:rFonts w:ascii="Arial" w:hAnsi="Arial" w:cs="Arial"/>
          <w:color w:val="auto"/>
          <w:sz w:val="22"/>
          <w:szCs w:val="22"/>
        </w:rPr>
        <w:t>alt</w:t>
      </w:r>
      <w:r w:rsidR="00BB378D">
        <w:rPr>
          <w:rFonts w:ascii="Arial" w:hAnsi="Arial" w:cs="Arial"/>
          <w:color w:val="auto"/>
          <w:sz w:val="22"/>
          <w:szCs w:val="22"/>
        </w:rPr>
        <w:t>a</w:t>
      </w:r>
      <w:r w:rsidRPr="00AC5826">
        <w:rPr>
          <w:rFonts w:ascii="Arial" w:hAnsi="Arial" w:cs="Arial"/>
          <w:color w:val="auto"/>
          <w:sz w:val="22"/>
          <w:szCs w:val="22"/>
        </w:rPr>
        <w:t xml:space="preserve"> intensità di estrazione </w:t>
      </w:r>
      <w:r w:rsidR="009F0A8C">
        <w:rPr>
          <w:rFonts w:ascii="Arial" w:hAnsi="Arial" w:cs="Arial"/>
          <w:color w:val="auto"/>
          <w:sz w:val="22"/>
          <w:szCs w:val="22"/>
        </w:rPr>
        <w:t xml:space="preserve">che si registra </w:t>
      </w:r>
      <w:r w:rsidRPr="00AC5826">
        <w:rPr>
          <w:rFonts w:ascii="Arial" w:hAnsi="Arial" w:cs="Arial"/>
          <w:color w:val="auto"/>
          <w:sz w:val="22"/>
          <w:szCs w:val="22"/>
        </w:rPr>
        <w:t xml:space="preserve">in Lombardia (138) e Piemonte (101). Valori rilevanti si </w:t>
      </w:r>
      <w:r w:rsidR="009F0A8C">
        <w:rPr>
          <w:rFonts w:ascii="Arial" w:hAnsi="Arial" w:cs="Arial"/>
          <w:color w:val="auto"/>
          <w:sz w:val="22"/>
          <w:szCs w:val="22"/>
        </w:rPr>
        <w:t>apprezzano</w:t>
      </w:r>
      <w:r w:rsidR="009F0A8C" w:rsidRPr="00AC5826">
        <w:rPr>
          <w:rFonts w:ascii="Arial" w:hAnsi="Arial" w:cs="Arial"/>
          <w:color w:val="auto"/>
          <w:sz w:val="22"/>
          <w:szCs w:val="22"/>
        </w:rPr>
        <w:t xml:space="preserve"> </w:t>
      </w:r>
      <w:r w:rsidRPr="00AC5826">
        <w:rPr>
          <w:rFonts w:ascii="Arial" w:hAnsi="Arial" w:cs="Arial"/>
          <w:color w:val="auto"/>
          <w:sz w:val="22"/>
          <w:szCs w:val="22"/>
        </w:rPr>
        <w:t>anche in Umbria (134), Veneto (128) e Campania (103).</w:t>
      </w:r>
    </w:p>
    <w:p w14:paraId="22638B62" w14:textId="77777777" w:rsidR="009F0A8C" w:rsidRPr="00E64009" w:rsidRDefault="009F0A8C" w:rsidP="00E64009">
      <w:pPr>
        <w:autoSpaceDE w:val="0"/>
        <w:autoSpaceDN w:val="0"/>
        <w:adjustRightInd w:val="0"/>
        <w:spacing w:after="120"/>
        <w:jc w:val="both"/>
        <w:rPr>
          <w:rFonts w:ascii="Arial" w:hAnsi="Arial" w:cs="Arial"/>
          <w:b/>
          <w:color w:val="1F497D" w:themeColor="text2"/>
          <w:sz w:val="10"/>
          <w:szCs w:val="10"/>
        </w:rPr>
      </w:pPr>
    </w:p>
    <w:p w14:paraId="5FE70405" w14:textId="77777777" w:rsidR="009F0A8C" w:rsidRDefault="009F0A8C" w:rsidP="00A11606">
      <w:pPr>
        <w:pStyle w:val="Default"/>
        <w:spacing w:after="120"/>
        <w:jc w:val="both"/>
        <w:rPr>
          <w:rFonts w:ascii="Arial" w:hAnsi="Arial" w:cs="Arial"/>
          <w:color w:val="auto"/>
          <w:sz w:val="22"/>
          <w:szCs w:val="22"/>
        </w:rPr>
      </w:pPr>
    </w:p>
    <w:p w14:paraId="734D5028" w14:textId="77777777" w:rsidR="00860C18" w:rsidRDefault="00860C18" w:rsidP="00A11606">
      <w:pPr>
        <w:pStyle w:val="Default"/>
        <w:spacing w:after="120"/>
        <w:jc w:val="both"/>
        <w:rPr>
          <w:rFonts w:ascii="Arial" w:hAnsi="Arial" w:cs="Arial"/>
          <w:color w:val="auto"/>
          <w:sz w:val="22"/>
          <w:szCs w:val="22"/>
        </w:rPr>
      </w:pPr>
    </w:p>
    <w:p w14:paraId="3745E0F8" w14:textId="77777777" w:rsidR="009F0A8C" w:rsidRDefault="009F0A8C" w:rsidP="00A11606">
      <w:pPr>
        <w:pStyle w:val="Default"/>
        <w:spacing w:after="120"/>
        <w:jc w:val="both"/>
        <w:rPr>
          <w:rFonts w:ascii="Arial" w:hAnsi="Arial" w:cs="Arial"/>
          <w:color w:val="auto"/>
          <w:sz w:val="22"/>
          <w:szCs w:val="22"/>
        </w:rPr>
      </w:pPr>
    </w:p>
    <w:p w14:paraId="0D8FDF2B" w14:textId="77777777" w:rsidR="00860C18" w:rsidRDefault="00860C18" w:rsidP="00A11606">
      <w:pPr>
        <w:pStyle w:val="Default"/>
        <w:spacing w:after="120"/>
        <w:jc w:val="both"/>
        <w:rPr>
          <w:rFonts w:ascii="Arial" w:hAnsi="Arial" w:cs="Arial"/>
          <w:color w:val="auto"/>
          <w:sz w:val="22"/>
          <w:szCs w:val="22"/>
        </w:rPr>
      </w:pPr>
    </w:p>
    <w:p w14:paraId="0B4A8959" w14:textId="77777777" w:rsidR="00E64009" w:rsidRDefault="00E64009" w:rsidP="00A11606">
      <w:pPr>
        <w:pStyle w:val="Default"/>
        <w:spacing w:after="120"/>
        <w:jc w:val="both"/>
        <w:rPr>
          <w:rFonts w:ascii="Arial" w:hAnsi="Arial" w:cs="Arial"/>
          <w:color w:val="auto"/>
          <w:sz w:val="22"/>
          <w:szCs w:val="22"/>
        </w:rPr>
      </w:pPr>
    </w:p>
    <w:p w14:paraId="637137D4" w14:textId="77777777" w:rsidR="00441C1C" w:rsidRDefault="00441C1C" w:rsidP="00A11606">
      <w:pPr>
        <w:pStyle w:val="Default"/>
        <w:spacing w:after="120"/>
        <w:jc w:val="both"/>
        <w:rPr>
          <w:rFonts w:ascii="Arial" w:hAnsi="Arial" w:cs="Arial"/>
          <w:color w:val="auto"/>
          <w:sz w:val="22"/>
          <w:szCs w:val="22"/>
        </w:rPr>
      </w:pPr>
    </w:p>
    <w:p w14:paraId="51B15A8B" w14:textId="77777777" w:rsidR="00860C18" w:rsidRDefault="00860C18" w:rsidP="00A11606">
      <w:pPr>
        <w:pStyle w:val="Default"/>
        <w:spacing w:after="120"/>
        <w:jc w:val="both"/>
        <w:rPr>
          <w:rFonts w:ascii="Arial" w:hAnsi="Arial" w:cs="Arial"/>
          <w:color w:val="auto"/>
          <w:sz w:val="22"/>
          <w:szCs w:val="22"/>
        </w:rPr>
      </w:pPr>
    </w:p>
    <w:p w14:paraId="38437534" w14:textId="77777777" w:rsidR="00530415" w:rsidRPr="00AC5826" w:rsidRDefault="00530415" w:rsidP="00A11606">
      <w:pPr>
        <w:pStyle w:val="Default"/>
        <w:spacing w:after="120"/>
        <w:jc w:val="both"/>
        <w:rPr>
          <w:rFonts w:ascii="Arial" w:hAnsi="Arial" w:cs="Arial"/>
          <w:color w:val="auto"/>
          <w:sz w:val="22"/>
          <w:szCs w:val="22"/>
        </w:rPr>
      </w:pPr>
    </w:p>
    <w:p w14:paraId="1BEB56AC" w14:textId="126D47D3" w:rsidR="00D448EC" w:rsidRPr="00672170" w:rsidRDefault="008659BD" w:rsidP="006662D9">
      <w:pPr>
        <w:pStyle w:val="Default"/>
        <w:jc w:val="both"/>
        <w:rPr>
          <w:rFonts w:ascii="Arial Narrow" w:hAnsi="Arial Narrow" w:cs="Arial"/>
          <w:iCs/>
          <w:noProof/>
          <w:color w:val="1F497D" w:themeColor="text2"/>
          <w:sz w:val="22"/>
          <w:szCs w:val="22"/>
        </w:rPr>
      </w:pPr>
      <w:r>
        <w:rPr>
          <w:rFonts w:ascii="Arial Black" w:hAnsi="Arial Black" w:cs="Arial"/>
          <w:b/>
          <w:iCs/>
          <w:noProof/>
          <w:color w:val="1F497D" w:themeColor="text2"/>
          <w:sz w:val="22"/>
          <w:szCs w:val="22"/>
        </w:rPr>
        <w:t xml:space="preserve">FIGURA </w:t>
      </w:r>
      <w:r w:rsidR="00C81835">
        <w:rPr>
          <w:rFonts w:ascii="Arial Black" w:hAnsi="Arial Black" w:cs="Arial"/>
          <w:b/>
          <w:iCs/>
          <w:noProof/>
          <w:color w:val="1F497D" w:themeColor="text2"/>
          <w:sz w:val="22"/>
          <w:szCs w:val="22"/>
        </w:rPr>
        <w:t>7</w:t>
      </w:r>
      <w:r w:rsidR="00672170">
        <w:rPr>
          <w:rFonts w:ascii="Arial Black" w:hAnsi="Arial Black" w:cs="Arial"/>
          <w:b/>
          <w:iCs/>
          <w:noProof/>
          <w:color w:val="1F497D" w:themeColor="text2"/>
          <w:sz w:val="22"/>
          <w:szCs w:val="22"/>
        </w:rPr>
        <w:t>.</w:t>
      </w:r>
      <w:r>
        <w:rPr>
          <w:rFonts w:ascii="Arial Black" w:hAnsi="Arial Black" w:cs="Arial"/>
          <w:b/>
          <w:iCs/>
          <w:noProof/>
          <w:color w:val="1F497D" w:themeColor="text2"/>
          <w:sz w:val="22"/>
          <w:szCs w:val="22"/>
        </w:rPr>
        <w:t xml:space="preserve"> </w:t>
      </w:r>
      <w:r w:rsidRPr="006662D9">
        <w:rPr>
          <w:rFonts w:ascii="Arial Narrow" w:hAnsi="Arial Narrow" w:cs="Arial"/>
          <w:b/>
          <w:iCs/>
          <w:noProof/>
          <w:color w:val="1F497D" w:themeColor="text2"/>
          <w:sz w:val="22"/>
          <w:szCs w:val="22"/>
        </w:rPr>
        <w:t xml:space="preserve">ESTRAZIONI DI ACQUE MINERALI </w:t>
      </w:r>
      <w:r w:rsidR="00E27908">
        <w:rPr>
          <w:rFonts w:ascii="Arial Narrow" w:hAnsi="Arial Narrow" w:cs="Arial"/>
          <w:b/>
          <w:iCs/>
          <w:noProof/>
          <w:color w:val="1F497D" w:themeColor="text2"/>
          <w:sz w:val="22"/>
          <w:szCs w:val="22"/>
        </w:rPr>
        <w:t xml:space="preserve">NATURALI </w:t>
      </w:r>
      <w:r w:rsidRPr="006662D9">
        <w:rPr>
          <w:rFonts w:ascii="Arial Narrow" w:hAnsi="Arial Narrow" w:cs="Arial"/>
          <w:b/>
          <w:iCs/>
          <w:noProof/>
          <w:color w:val="1F497D" w:themeColor="text2"/>
          <w:sz w:val="22"/>
          <w:szCs w:val="22"/>
        </w:rPr>
        <w:t>UTILIZZATE A FINI DI PRODUZIONE PER REGIONE</w:t>
      </w:r>
    </w:p>
    <w:p w14:paraId="45E36BCD" w14:textId="194837ED" w:rsidR="009F0A8C" w:rsidRDefault="00F2412C" w:rsidP="009F0A8C">
      <w:pPr>
        <w:pStyle w:val="Default"/>
        <w:spacing w:after="120"/>
        <w:jc w:val="both"/>
        <w:rPr>
          <w:rFonts w:ascii="Arial Narrow" w:hAnsi="Arial Narrow"/>
          <w:iCs/>
          <w:noProof/>
          <w:color w:val="1F497D" w:themeColor="text2"/>
          <w:sz w:val="22"/>
          <w:szCs w:val="22"/>
        </w:rPr>
      </w:pPr>
      <w:r w:rsidRPr="006662D9">
        <w:rPr>
          <w:rFonts w:ascii="Arial Narrow" w:hAnsi="Arial Narrow"/>
          <w:iCs/>
          <w:noProof/>
          <w:color w:val="1F497D" w:themeColor="text2"/>
          <w:sz w:val="22"/>
          <w:szCs w:val="22"/>
        </w:rPr>
        <w:t xml:space="preserve">Anni 2015 e 2016, valori assoluti in </w:t>
      </w:r>
      <w:r w:rsidR="00381448" w:rsidRPr="006662D9">
        <w:rPr>
          <w:rFonts w:ascii="Arial Narrow" w:hAnsi="Arial Narrow"/>
          <w:iCs/>
          <w:noProof/>
          <w:color w:val="1F497D" w:themeColor="text2"/>
          <w:sz w:val="22"/>
          <w:szCs w:val="22"/>
        </w:rPr>
        <w:t>mi</w:t>
      </w:r>
      <w:r w:rsidR="00381448">
        <w:rPr>
          <w:rFonts w:ascii="Arial Narrow" w:hAnsi="Arial Narrow"/>
          <w:iCs/>
          <w:noProof/>
          <w:color w:val="1F497D" w:themeColor="text2"/>
          <w:sz w:val="22"/>
          <w:szCs w:val="22"/>
        </w:rPr>
        <w:t>lioni</w:t>
      </w:r>
      <w:r w:rsidR="00381448" w:rsidRPr="006662D9">
        <w:rPr>
          <w:rFonts w:ascii="Arial Narrow" w:hAnsi="Arial Narrow"/>
          <w:iCs/>
          <w:noProof/>
          <w:color w:val="1F497D" w:themeColor="text2"/>
          <w:sz w:val="22"/>
          <w:szCs w:val="22"/>
        </w:rPr>
        <w:t xml:space="preserve"> </w:t>
      </w:r>
      <w:r w:rsidR="00791DC1" w:rsidRPr="006662D9">
        <w:rPr>
          <w:rFonts w:ascii="Arial Narrow" w:hAnsi="Arial Narrow"/>
          <w:iCs/>
          <w:noProof/>
          <w:color w:val="1F497D" w:themeColor="text2"/>
          <w:sz w:val="22"/>
          <w:szCs w:val="22"/>
        </w:rPr>
        <w:t xml:space="preserve">di </w:t>
      </w:r>
      <w:r w:rsidRPr="006662D9">
        <w:rPr>
          <w:rFonts w:ascii="Arial Narrow" w:hAnsi="Arial Narrow"/>
          <w:iCs/>
          <w:noProof/>
          <w:color w:val="1F497D" w:themeColor="text2"/>
          <w:sz w:val="22"/>
          <w:szCs w:val="22"/>
        </w:rPr>
        <w:t>metri cubi</w:t>
      </w:r>
    </w:p>
    <w:p w14:paraId="0232E4F0" w14:textId="471278D0" w:rsidR="009F0A8C" w:rsidRDefault="00FD3D4A" w:rsidP="009F0A8C">
      <w:pPr>
        <w:pStyle w:val="Default"/>
        <w:jc w:val="both"/>
        <w:rPr>
          <w:rFonts w:ascii="Arial" w:hAnsi="Arial" w:cs="Arial"/>
          <w:color w:val="auto"/>
          <w:sz w:val="22"/>
          <w:szCs w:val="22"/>
        </w:rPr>
      </w:pPr>
      <w:r w:rsidRPr="007C11D2">
        <w:rPr>
          <w:rFonts w:ascii="Arial" w:hAnsi="Arial" w:cs="Arial"/>
          <w:b/>
          <w:noProof/>
          <w:color w:val="1F497D" w:themeColor="text2"/>
          <w:sz w:val="10"/>
          <w:szCs w:val="10"/>
        </w:rPr>
        <mc:AlternateContent>
          <mc:Choice Requires="wps">
            <w:drawing>
              <wp:anchor distT="0" distB="0" distL="114300" distR="114300" simplePos="0" relativeHeight="251689984" behindDoc="0" locked="0" layoutInCell="1" allowOverlap="1" wp14:anchorId="209AEF83" wp14:editId="29B2E2B8">
                <wp:simplePos x="0" y="0"/>
                <wp:positionH relativeFrom="column">
                  <wp:posOffset>-139802</wp:posOffset>
                </wp:positionH>
                <wp:positionV relativeFrom="paragraph">
                  <wp:posOffset>13843</wp:posOffset>
                </wp:positionV>
                <wp:extent cx="541325" cy="2222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22250"/>
                        </a:xfrm>
                        <a:prstGeom prst="rect">
                          <a:avLst/>
                        </a:prstGeom>
                        <a:solidFill>
                          <a:srgbClr val="FFFFFF">
                            <a:alpha val="0"/>
                          </a:srgbClr>
                        </a:solidFill>
                        <a:ln w="9525">
                          <a:noFill/>
                          <a:miter lim="800000"/>
                          <a:headEnd/>
                          <a:tailEnd/>
                        </a:ln>
                      </wps:spPr>
                      <wps:txbx>
                        <w:txbxContent>
                          <w:p w14:paraId="432492B8" w14:textId="40D37EF0" w:rsidR="007C11D2" w:rsidRPr="00132A04" w:rsidRDefault="00FD3D4A">
                            <w:pPr>
                              <w:rPr>
                                <w:rFonts w:ascii="Arial Narrow" w:hAnsi="Arial Narrow"/>
                                <w:sz w:val="18"/>
                                <w:szCs w:val="18"/>
                              </w:rPr>
                            </w:pPr>
                            <w:r>
                              <w:rPr>
                                <w:rFonts w:ascii="Arial Narrow" w:hAnsi="Arial Narrow"/>
                                <w:sz w:val="18"/>
                                <w:szCs w:val="18"/>
                              </w:rPr>
                              <w:t xml:space="preserve">Mln </w:t>
                            </w:r>
                            <w:r w:rsidR="007C11D2" w:rsidRPr="007C11D2">
                              <w:rPr>
                                <w:rFonts w:ascii="Arial Narrow" w:hAnsi="Arial Narrow"/>
                                <w:sz w:val="18"/>
                                <w:szCs w:val="18"/>
                              </w:rPr>
                              <w:t>m</w:t>
                            </w:r>
                            <w:r w:rsidR="007C11D2" w:rsidRPr="00132A04">
                              <w:rPr>
                                <w:rFonts w:ascii="Arial Narrow" w:hAnsi="Arial Narrow"/>
                                <w:sz w:val="18"/>
                                <w:szCs w:val="18"/>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pt;margin-top:1.1pt;width:42.6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" stroked="f">
                <v:fill opacity="0"/>
                <v:textbox>
                  <w:txbxContent>
                    <w:p w14:paraId="432492B8" w14:textId="40D37EF0" w:rsidR="007C11D2" w:rsidRPr="00132A04" w:rsidRDefault="00FD3D4A">
                      <w:pPr>
                        <w:rPr>
                          <w:rFonts w:ascii="Arial Narrow" w:hAnsi="Arial Narrow"/>
                          <w:sz w:val="18"/>
                          <w:szCs w:val="18"/>
                        </w:rPr>
                      </w:pPr>
                      <w:r>
                        <w:rPr>
                          <w:rFonts w:ascii="Arial Narrow" w:hAnsi="Arial Narrow"/>
                          <w:sz w:val="18"/>
                          <w:szCs w:val="18"/>
                        </w:rPr>
                        <w:t xml:space="preserve">Mln </w:t>
                      </w:r>
                      <w:r w:rsidR="007C11D2" w:rsidRPr="007C11D2">
                        <w:rPr>
                          <w:rFonts w:ascii="Arial Narrow" w:hAnsi="Arial Narrow"/>
                          <w:sz w:val="18"/>
                          <w:szCs w:val="18"/>
                        </w:rPr>
                        <w:t>m</w:t>
                      </w:r>
                      <w:r w:rsidR="007C11D2" w:rsidRPr="00132A04">
                        <w:rPr>
                          <w:rFonts w:ascii="Arial Narrow" w:hAnsi="Arial Narrow"/>
                          <w:sz w:val="18"/>
                          <w:szCs w:val="18"/>
                          <w:vertAlign w:val="superscript"/>
                        </w:rPr>
                        <w:t>3</w:t>
                      </w:r>
                    </w:p>
                  </w:txbxContent>
                </v:textbox>
              </v:shape>
            </w:pict>
          </mc:Fallback>
        </mc:AlternateContent>
      </w:r>
      <w:r>
        <w:rPr>
          <w:noProof/>
        </w:rPr>
        <w:drawing>
          <wp:inline distT="0" distB="0" distL="0" distR="0" wp14:anchorId="5A96E6FA" wp14:editId="476A2F92">
            <wp:extent cx="6349594" cy="1982419"/>
            <wp:effectExtent l="0" t="0" r="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F0A8C">
        <w:rPr>
          <w:rFonts w:ascii="Arial Narrow" w:hAnsi="Arial Narrow"/>
          <w:color w:val="auto"/>
          <w:sz w:val="15"/>
          <w:szCs w:val="15"/>
        </w:rPr>
        <w:t>Fonte: Istat, Pressione antropica e rischi naturali. Le attività estrattive da cave e miniere</w:t>
      </w:r>
    </w:p>
    <w:p w14:paraId="04715281" w14:textId="43D29F37" w:rsidR="00412A25" w:rsidRPr="00132A04" w:rsidRDefault="00412A25" w:rsidP="00427FDB">
      <w:pPr>
        <w:pStyle w:val="Default"/>
        <w:jc w:val="both"/>
        <w:rPr>
          <w:rFonts w:ascii="Arial Narrow" w:hAnsi="Arial Narrow" w:cs="Arial"/>
          <w:color w:val="auto"/>
          <w:sz w:val="14"/>
          <w:szCs w:val="14"/>
        </w:rPr>
      </w:pPr>
      <w:r w:rsidRPr="00132A04">
        <w:rPr>
          <w:rFonts w:ascii="Arial Narrow" w:hAnsi="Arial Narrow" w:cs="Arial"/>
          <w:color w:val="auto"/>
          <w:sz w:val="14"/>
          <w:szCs w:val="14"/>
        </w:rPr>
        <w:t xml:space="preserve">a) </w:t>
      </w:r>
      <w:r w:rsidR="000D4EA0" w:rsidRPr="00132A04">
        <w:rPr>
          <w:rFonts w:ascii="Arial Narrow" w:hAnsi="Arial Narrow" w:cs="Arial"/>
          <w:color w:val="auto"/>
          <w:sz w:val="14"/>
          <w:szCs w:val="14"/>
        </w:rPr>
        <w:t>E</w:t>
      </w:r>
      <w:r w:rsidRPr="00132A04">
        <w:rPr>
          <w:rFonts w:ascii="Arial Narrow" w:hAnsi="Arial Narrow" w:cs="Arial"/>
          <w:color w:val="auto"/>
          <w:sz w:val="14"/>
          <w:szCs w:val="14"/>
        </w:rPr>
        <w:t xml:space="preserve">laborazioni Istat su dati forniti dal Ministero dell'Economia e delle Finanze - Dipartimento del Tesoro Rilevazione </w:t>
      </w:r>
      <w:r w:rsidR="000D4EA0" w:rsidRPr="00132A04">
        <w:rPr>
          <w:rFonts w:ascii="Arial Narrow" w:hAnsi="Arial Narrow" w:cs="Arial"/>
          <w:color w:val="auto"/>
          <w:sz w:val="14"/>
          <w:szCs w:val="14"/>
        </w:rPr>
        <w:t>“</w:t>
      </w:r>
      <w:r w:rsidRPr="00132A04">
        <w:rPr>
          <w:rFonts w:ascii="Arial Narrow" w:hAnsi="Arial Narrow" w:cs="Arial"/>
          <w:color w:val="auto"/>
          <w:sz w:val="14"/>
          <w:szCs w:val="14"/>
        </w:rPr>
        <w:t>Concessioni - Patrimonio della PA</w:t>
      </w:r>
      <w:r w:rsidR="000D4EA0" w:rsidRPr="00132A04">
        <w:rPr>
          <w:rFonts w:ascii="Arial Narrow" w:hAnsi="Arial Narrow" w:cs="Arial"/>
          <w:color w:val="auto"/>
          <w:sz w:val="14"/>
          <w:szCs w:val="14"/>
        </w:rPr>
        <w:t>”</w:t>
      </w:r>
      <w:r w:rsidRPr="00132A04">
        <w:rPr>
          <w:rFonts w:ascii="Arial Narrow" w:hAnsi="Arial Narrow" w:cs="Arial"/>
          <w:color w:val="auto"/>
          <w:sz w:val="14"/>
          <w:szCs w:val="14"/>
        </w:rPr>
        <w:t xml:space="preserve"> anni 2015 e 2016. Per Toscana dati anni 2015-2016, per Marche e Abruzzo dati anno 2015.</w:t>
      </w:r>
    </w:p>
    <w:p w14:paraId="0A76E320" w14:textId="77777777" w:rsidR="00412A25" w:rsidRPr="00132A04" w:rsidRDefault="00412A25" w:rsidP="00412A25">
      <w:pPr>
        <w:pStyle w:val="Default"/>
        <w:spacing w:after="120"/>
        <w:jc w:val="both"/>
        <w:rPr>
          <w:rFonts w:ascii="Arial Narrow" w:hAnsi="Arial Narrow" w:cs="Arial"/>
          <w:color w:val="auto"/>
          <w:sz w:val="14"/>
          <w:szCs w:val="14"/>
        </w:rPr>
      </w:pPr>
      <w:r w:rsidRPr="00132A04">
        <w:rPr>
          <w:rFonts w:ascii="Arial Narrow" w:hAnsi="Arial Narrow" w:cs="Arial"/>
          <w:color w:val="auto"/>
          <w:sz w:val="14"/>
          <w:szCs w:val="14"/>
        </w:rPr>
        <w:t>b) dati non disponibili</w:t>
      </w:r>
    </w:p>
    <w:p w14:paraId="0DF40850" w14:textId="77777777" w:rsidR="00980EE7" w:rsidRPr="00427FDB" w:rsidRDefault="00980EE7" w:rsidP="0060521F">
      <w:pPr>
        <w:tabs>
          <w:tab w:val="left" w:pos="900"/>
        </w:tabs>
        <w:rPr>
          <w:rFonts w:ascii="Arial Narrow" w:hAnsi="Arial Narrow" w:cs="Arial"/>
          <w:sz w:val="15"/>
          <w:szCs w:val="15"/>
        </w:rPr>
        <w:sectPr w:rsidR="00980EE7" w:rsidRPr="00427FDB" w:rsidSect="00116BF2">
          <w:headerReference w:type="default" r:id="rId20"/>
          <w:footerReference w:type="default" r:id="rId21"/>
          <w:type w:val="continuous"/>
          <w:pgSz w:w="11906" w:h="16838" w:code="9"/>
          <w:pgMar w:top="567" w:right="992" w:bottom="714" w:left="992" w:header="0" w:footer="0" w:gutter="0"/>
          <w:cols w:space="430"/>
          <w:docGrid w:linePitch="360"/>
        </w:sectPr>
      </w:pPr>
    </w:p>
    <w:p w14:paraId="65EF95B0" w14:textId="77777777" w:rsidR="001A7F1A" w:rsidRDefault="001A7F1A" w:rsidP="002F6D38">
      <w:pPr>
        <w:pStyle w:val="Titolo3"/>
        <w:spacing w:before="0" w:beforeAutospacing="0" w:after="120" w:afterAutospacing="0" w:line="360" w:lineRule="auto"/>
        <w:rPr>
          <w:rFonts w:ascii="Georgia" w:hAnsi="Georgia" w:cs="Arial"/>
          <w:b w:val="0"/>
          <w:color w:val="1F497D" w:themeColor="text2"/>
          <w:sz w:val="48"/>
          <w:szCs w:val="48"/>
        </w:rPr>
      </w:pPr>
      <w:r w:rsidRPr="002F6D38">
        <w:rPr>
          <w:rFonts w:ascii="Georgia" w:hAnsi="Georgia" w:cs="Arial"/>
          <w:b w:val="0"/>
          <w:color w:val="1F497D" w:themeColor="text2"/>
          <w:sz w:val="48"/>
          <w:szCs w:val="48"/>
        </w:rPr>
        <w:lastRenderedPageBreak/>
        <w:t>Glossario</w:t>
      </w:r>
    </w:p>
    <w:p w14:paraId="334E7CB8"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Acque di balneazione: </w:t>
      </w:r>
      <w:r w:rsidRPr="00D7380F">
        <w:rPr>
          <w:rFonts w:ascii="Arial" w:hAnsi="Arial" w:cs="Arial"/>
          <w:bCs/>
          <w:sz w:val="20"/>
          <w:szCs w:val="20"/>
        </w:rPr>
        <w:t xml:space="preserve">aree che, ai sensi della “Direttiva Balneazione” (Direttiva 2006/7/CE), sono definite come "qualsiasi parte di acque superficiali nella quale l'autorità competente prevede che un congruo numero di persone pratichi la balneazione e non ha imposto un divieto permanente di balneazione, né emesso un avviso che sconsiglia permanentemente la balneazione". La Direttiva 2006/7/CE è stata recepita in Italia con il D. </w:t>
      </w:r>
      <w:proofErr w:type="spellStart"/>
      <w:r w:rsidRPr="00D7380F">
        <w:rPr>
          <w:rFonts w:ascii="Arial" w:hAnsi="Arial" w:cs="Arial"/>
          <w:bCs/>
          <w:sz w:val="20"/>
          <w:szCs w:val="20"/>
        </w:rPr>
        <w:t>Lgs</w:t>
      </w:r>
      <w:proofErr w:type="spellEnd"/>
      <w:r w:rsidRPr="00D7380F">
        <w:rPr>
          <w:rFonts w:ascii="Arial" w:hAnsi="Arial" w:cs="Arial"/>
          <w:bCs/>
          <w:sz w:val="20"/>
          <w:szCs w:val="20"/>
        </w:rPr>
        <w:t xml:space="preserve"> 116/2008, seguito a sua volta dal Decreto attuativo del 30 marzo 2010, modificato recentemente con D. M. del 19 aprile 2018.</w:t>
      </w:r>
    </w:p>
    <w:p w14:paraId="65137B61"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Acqua erogata per usi autorizzati: </w:t>
      </w:r>
      <w:r w:rsidRPr="00D7380F">
        <w:rPr>
          <w:rFonts w:ascii="Arial" w:hAnsi="Arial" w:cs="Arial"/>
          <w:bCs/>
          <w:sz w:val="20"/>
          <w:szCs w:val="20"/>
        </w:rPr>
        <w:t>quantità di acqua ad uso potabile effettivamente consumata per usi autorizzati, ottenuta dalla somma dei volumi d’acqua, sia fatturati che non, misurati ai contatori dei diversi utenti più la stima dei volumi non misurati ma consumati per i diversi usi destinati agli utenti finali.</w:t>
      </w:r>
    </w:p>
    <w:p w14:paraId="37711E97" w14:textId="331D1243"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Acque minerali</w:t>
      </w:r>
      <w:r w:rsidR="00D91ECF">
        <w:rPr>
          <w:rFonts w:ascii="Arial" w:hAnsi="Arial" w:cs="Arial"/>
          <w:b/>
          <w:bCs/>
          <w:color w:val="1F497D" w:themeColor="text2"/>
          <w:sz w:val="20"/>
          <w:szCs w:val="20"/>
        </w:rPr>
        <w:t xml:space="preserve"> naturali</w:t>
      </w:r>
      <w:r w:rsidRPr="0033497A">
        <w:rPr>
          <w:rFonts w:ascii="Arial" w:hAnsi="Arial" w:cs="Arial"/>
          <w:b/>
          <w:bCs/>
          <w:color w:val="1F497D" w:themeColor="text2"/>
          <w:sz w:val="20"/>
          <w:szCs w:val="20"/>
        </w:rPr>
        <w:t xml:space="preserve">: </w:t>
      </w:r>
      <w:r w:rsidRPr="00D7380F">
        <w:rPr>
          <w:rFonts w:ascii="Arial" w:hAnsi="Arial" w:cs="Arial"/>
          <w:bCs/>
          <w:sz w:val="20"/>
          <w:szCs w:val="20"/>
        </w:rPr>
        <w:t xml:space="preserve">secondo il </w:t>
      </w:r>
      <w:proofErr w:type="spellStart"/>
      <w:r w:rsidRPr="00D7380F">
        <w:rPr>
          <w:rFonts w:ascii="Arial" w:hAnsi="Arial" w:cs="Arial"/>
          <w:bCs/>
          <w:sz w:val="20"/>
          <w:szCs w:val="20"/>
        </w:rPr>
        <w:t>D.Lgs.</w:t>
      </w:r>
      <w:proofErr w:type="spellEnd"/>
      <w:r w:rsidRPr="00D7380F">
        <w:rPr>
          <w:rFonts w:ascii="Arial" w:hAnsi="Arial" w:cs="Arial"/>
          <w:bCs/>
          <w:sz w:val="20"/>
          <w:szCs w:val="20"/>
        </w:rPr>
        <w:t xml:space="preserve"> nº176 dell'8 ottobre 2011 (in attuazione della Direttiva 2009/54/CE) sono considerate acque minerali naturali le acque che, avendo origine da una falda o giacimento sotterraneo, provengono da una o più sorgenti naturali o perforate e che hanno caratteristiche igieniche particolari e, eventualmente, proprietà favorevoli alla salute.</w:t>
      </w:r>
    </w:p>
    <w:p w14:paraId="09AF6558"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Acqua prelevata per uso potabile: </w:t>
      </w:r>
      <w:r w:rsidRPr="00D7380F">
        <w:rPr>
          <w:rFonts w:ascii="Arial" w:hAnsi="Arial" w:cs="Arial"/>
          <w:bCs/>
          <w:sz w:val="20"/>
          <w:szCs w:val="20"/>
        </w:rPr>
        <w:t>quantità di acqua captata o derivata ad uso potabile da corpi idrici (acque sotterranee, corsi d’acqua superficiali, laghi, bacini artificiali, acque marine o salmastre) attraverso specifiche opere di presa.</w:t>
      </w:r>
    </w:p>
    <w:p w14:paraId="28CF9652"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Arboricoltura da legno: </w:t>
      </w:r>
      <w:r w:rsidRPr="00D7380F">
        <w:rPr>
          <w:rFonts w:ascii="Arial" w:hAnsi="Arial" w:cs="Arial"/>
          <w:bCs/>
          <w:sz w:val="20"/>
          <w:szCs w:val="20"/>
        </w:rPr>
        <w:t>superfici occupate temporaneamente da impianti di specie arboree destinate alla produzione di masse legnose a prevalente impiego industriale o da lavoro. Il ciclo produttivo, la cui lunghezza è dettata dalle esigenze aziendali e di mercato, si chiude a maturità commerciale col taglio di sgombero e la riconsegna del suolo in condizioni idonee a nuove colture.</w:t>
      </w:r>
    </w:p>
    <w:p w14:paraId="3EC687DA" w14:textId="28F5F843"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Cereali per la produzione di granella: </w:t>
      </w:r>
      <w:r w:rsidRPr="00D7380F">
        <w:rPr>
          <w:rFonts w:ascii="Arial" w:hAnsi="Arial" w:cs="Arial"/>
          <w:bCs/>
          <w:sz w:val="20"/>
          <w:szCs w:val="20"/>
        </w:rPr>
        <w:t xml:space="preserve">frumento tenero e spelta, frumento duro, segale, orzo, avena, mais, riso, sorgo e altri cereali (farro, grano saraceno, miglio, panico, scagliola, </w:t>
      </w:r>
      <w:proofErr w:type="spellStart"/>
      <w:r w:rsidRPr="00D7380F">
        <w:rPr>
          <w:rFonts w:ascii="Arial" w:hAnsi="Arial" w:cs="Arial"/>
          <w:bCs/>
          <w:sz w:val="20"/>
          <w:szCs w:val="20"/>
        </w:rPr>
        <w:t>triticale</w:t>
      </w:r>
      <w:proofErr w:type="spellEnd"/>
      <w:r w:rsidRPr="00D7380F">
        <w:rPr>
          <w:rFonts w:ascii="Arial" w:hAnsi="Arial" w:cs="Arial"/>
          <w:bCs/>
          <w:sz w:val="20"/>
          <w:szCs w:val="20"/>
        </w:rPr>
        <w:t>, ecc</w:t>
      </w:r>
      <w:r w:rsidR="00F7110B">
        <w:rPr>
          <w:rFonts w:ascii="Arial" w:hAnsi="Arial" w:cs="Arial"/>
          <w:bCs/>
          <w:sz w:val="20"/>
          <w:szCs w:val="20"/>
        </w:rPr>
        <w:t>.</w:t>
      </w:r>
      <w:r w:rsidRPr="00D7380F">
        <w:rPr>
          <w:rFonts w:ascii="Arial" w:hAnsi="Arial" w:cs="Arial"/>
          <w:bCs/>
          <w:sz w:val="20"/>
          <w:szCs w:val="20"/>
        </w:rPr>
        <w:t>) coltivati per la produzione di granella.</w:t>
      </w:r>
    </w:p>
    <w:p w14:paraId="61569BA6" w14:textId="6F11F721"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Colture industriali: </w:t>
      </w:r>
      <w:r w:rsidRPr="00D7380F">
        <w:rPr>
          <w:rFonts w:ascii="Arial" w:hAnsi="Arial" w:cs="Arial"/>
          <w:bCs/>
          <w:sz w:val="20"/>
          <w:szCs w:val="20"/>
        </w:rPr>
        <w:t xml:space="preserve">tabacco, </w:t>
      </w:r>
      <w:r>
        <w:rPr>
          <w:rFonts w:ascii="Arial" w:hAnsi="Arial" w:cs="Arial"/>
          <w:bCs/>
          <w:sz w:val="20"/>
          <w:szCs w:val="20"/>
        </w:rPr>
        <w:t>l</w:t>
      </w:r>
      <w:r w:rsidRPr="00D7380F">
        <w:rPr>
          <w:rFonts w:ascii="Arial" w:hAnsi="Arial" w:cs="Arial"/>
          <w:bCs/>
          <w:sz w:val="20"/>
          <w:szCs w:val="20"/>
        </w:rPr>
        <w:t xml:space="preserve">uppolo, </w:t>
      </w:r>
      <w:r>
        <w:rPr>
          <w:rFonts w:ascii="Arial" w:hAnsi="Arial" w:cs="Arial"/>
          <w:bCs/>
          <w:sz w:val="20"/>
          <w:szCs w:val="20"/>
        </w:rPr>
        <w:t>p</w:t>
      </w:r>
      <w:r w:rsidRPr="00D7380F">
        <w:rPr>
          <w:rFonts w:ascii="Arial" w:hAnsi="Arial" w:cs="Arial"/>
          <w:bCs/>
          <w:sz w:val="20"/>
          <w:szCs w:val="20"/>
        </w:rPr>
        <w:t xml:space="preserve">iante tessili (cotone, lino, canapa, ibisco, ginestra, iuta, </w:t>
      </w:r>
      <w:proofErr w:type="spellStart"/>
      <w:r w:rsidRPr="00D7380F">
        <w:rPr>
          <w:rFonts w:ascii="Arial" w:hAnsi="Arial" w:cs="Arial"/>
          <w:bCs/>
          <w:sz w:val="20"/>
          <w:szCs w:val="20"/>
        </w:rPr>
        <w:t>raimè</w:t>
      </w:r>
      <w:proofErr w:type="spellEnd"/>
      <w:r w:rsidRPr="00D7380F">
        <w:rPr>
          <w:rFonts w:ascii="Arial" w:hAnsi="Arial" w:cs="Arial"/>
          <w:bCs/>
          <w:sz w:val="20"/>
          <w:szCs w:val="20"/>
        </w:rPr>
        <w:t xml:space="preserve">), </w:t>
      </w:r>
      <w:r>
        <w:rPr>
          <w:rFonts w:ascii="Arial" w:hAnsi="Arial" w:cs="Arial"/>
          <w:bCs/>
          <w:sz w:val="20"/>
          <w:szCs w:val="20"/>
        </w:rPr>
        <w:t>p</w:t>
      </w:r>
      <w:r w:rsidRPr="00D7380F">
        <w:rPr>
          <w:rFonts w:ascii="Arial" w:hAnsi="Arial" w:cs="Arial"/>
          <w:bCs/>
          <w:sz w:val="20"/>
          <w:szCs w:val="20"/>
        </w:rPr>
        <w:t>iante da semi oleosi, comprese le superfici per la produzione di sementi, (colza e ravizzone, girasole, soia, semi di lino senape, papavero da olio, sesamo, arachidi, ecc</w:t>
      </w:r>
      <w:r w:rsidR="00E27908">
        <w:rPr>
          <w:rFonts w:ascii="Arial" w:hAnsi="Arial" w:cs="Arial"/>
          <w:bCs/>
          <w:sz w:val="20"/>
          <w:szCs w:val="20"/>
        </w:rPr>
        <w:t>.</w:t>
      </w:r>
      <w:r w:rsidRPr="00D7380F">
        <w:rPr>
          <w:rFonts w:ascii="Arial" w:hAnsi="Arial" w:cs="Arial"/>
          <w:bCs/>
          <w:sz w:val="20"/>
          <w:szCs w:val="20"/>
        </w:rPr>
        <w:t xml:space="preserve">), </w:t>
      </w:r>
      <w:r>
        <w:rPr>
          <w:rFonts w:ascii="Arial" w:hAnsi="Arial" w:cs="Arial"/>
          <w:bCs/>
          <w:sz w:val="20"/>
          <w:szCs w:val="20"/>
        </w:rPr>
        <w:t>p</w:t>
      </w:r>
      <w:r w:rsidRPr="00D7380F">
        <w:rPr>
          <w:rFonts w:ascii="Arial" w:hAnsi="Arial" w:cs="Arial"/>
          <w:bCs/>
          <w:sz w:val="20"/>
          <w:szCs w:val="20"/>
        </w:rPr>
        <w:t xml:space="preserve">iante aromatiche, medicinali, spezie e da condimento (altea, aneto, angelica, anice, arnica, assenzio, bardana, belladonna, calendula, camomilla, cappero, cardo, cerfoglio, colchico, crescione, cumino, digitale, dragoncello, edera, gelsomino, genziana, </w:t>
      </w:r>
      <w:proofErr w:type="spellStart"/>
      <w:r w:rsidRPr="00D7380F">
        <w:rPr>
          <w:rFonts w:ascii="Arial" w:hAnsi="Arial" w:cs="Arial"/>
          <w:bCs/>
          <w:sz w:val="20"/>
          <w:szCs w:val="20"/>
        </w:rPr>
        <w:t>hamamelis</w:t>
      </w:r>
      <w:proofErr w:type="spellEnd"/>
      <w:r w:rsidRPr="00D7380F">
        <w:rPr>
          <w:rFonts w:ascii="Arial" w:hAnsi="Arial" w:cs="Arial"/>
          <w:bCs/>
          <w:sz w:val="20"/>
          <w:szCs w:val="20"/>
        </w:rPr>
        <w:t xml:space="preserve">, iperico, iris, issopo, lavanda, liquirizia, maggiorana, malva, melissa o cedronella, menta, millefoglie, mughetto, origano, passiflora, piretro, rafano, rosmarino, ruchetta o rucola, salvia, sclarea, segale cornuta, valeriana, zafferano, </w:t>
      </w:r>
      <w:r w:rsidR="00E27908" w:rsidRPr="00D7380F">
        <w:rPr>
          <w:rFonts w:ascii="Arial" w:hAnsi="Arial" w:cs="Arial"/>
          <w:bCs/>
          <w:sz w:val="20"/>
          <w:szCs w:val="20"/>
        </w:rPr>
        <w:t>ecc.</w:t>
      </w:r>
      <w:r w:rsidRPr="00D7380F">
        <w:rPr>
          <w:rFonts w:ascii="Arial" w:hAnsi="Arial" w:cs="Arial"/>
          <w:bCs/>
          <w:sz w:val="20"/>
          <w:szCs w:val="20"/>
        </w:rPr>
        <w:t xml:space="preserve">), </w:t>
      </w:r>
      <w:r>
        <w:rPr>
          <w:rFonts w:ascii="Arial" w:hAnsi="Arial" w:cs="Arial"/>
          <w:bCs/>
          <w:sz w:val="20"/>
          <w:szCs w:val="20"/>
        </w:rPr>
        <w:t>a</w:t>
      </w:r>
      <w:r w:rsidRPr="00D7380F">
        <w:rPr>
          <w:rFonts w:ascii="Arial" w:hAnsi="Arial" w:cs="Arial"/>
          <w:bCs/>
          <w:sz w:val="20"/>
          <w:szCs w:val="20"/>
        </w:rPr>
        <w:t xml:space="preserve">ltre piante industriali non menzionate altrove (canapa da fibra, canna da zucchero, cicoria da caffè, giaggiolo (ireos), saggina da scopa, </w:t>
      </w:r>
      <w:proofErr w:type="spellStart"/>
      <w:r w:rsidRPr="00D7380F">
        <w:rPr>
          <w:rFonts w:ascii="Arial" w:hAnsi="Arial" w:cs="Arial"/>
          <w:bCs/>
          <w:sz w:val="20"/>
          <w:szCs w:val="20"/>
        </w:rPr>
        <w:t>scopiglio</w:t>
      </w:r>
      <w:proofErr w:type="spellEnd"/>
      <w:r w:rsidRPr="00D7380F">
        <w:rPr>
          <w:rFonts w:ascii="Arial" w:hAnsi="Arial" w:cs="Arial"/>
          <w:bCs/>
          <w:sz w:val="20"/>
          <w:szCs w:val="20"/>
        </w:rPr>
        <w:t>, sorgo zuccherino).</w:t>
      </w:r>
    </w:p>
    <w:p w14:paraId="529E06E5" w14:textId="77777777" w:rsidR="00CF07FC" w:rsidRPr="00D7380F" w:rsidRDefault="00CF07FC" w:rsidP="00CF07FC">
      <w:pPr>
        <w:autoSpaceDE w:val="0"/>
        <w:autoSpaceDN w:val="0"/>
        <w:adjustRightInd w:val="0"/>
        <w:spacing w:after="120"/>
        <w:jc w:val="both"/>
        <w:rPr>
          <w:rFonts w:ascii="Arial" w:hAnsi="Arial" w:cs="Arial"/>
          <w:b/>
          <w:bCs/>
          <w:sz w:val="20"/>
          <w:szCs w:val="20"/>
        </w:rPr>
      </w:pPr>
      <w:r w:rsidRPr="0033497A">
        <w:rPr>
          <w:rFonts w:ascii="Arial" w:hAnsi="Arial" w:cs="Arial"/>
          <w:b/>
          <w:bCs/>
          <w:color w:val="1F497D" w:themeColor="text2"/>
          <w:sz w:val="20"/>
          <w:szCs w:val="20"/>
        </w:rPr>
        <w:t xml:space="preserve">Concessione mineraria: </w:t>
      </w:r>
      <w:r w:rsidRPr="00D7380F">
        <w:rPr>
          <w:rFonts w:ascii="Arial" w:hAnsi="Arial" w:cs="Arial"/>
          <w:bCs/>
          <w:sz w:val="20"/>
          <w:szCs w:val="20"/>
        </w:rPr>
        <w:t>provvedimento normativo finalizzato alla coltivazione di un sito estrattivo da miniera, che ne individua l’area, ne approva il disciplinare sull’esercizio dell’attività estrattiva e sui prelievi autorizzati e ne fissa la durata. Nelle Regioni a statuto ordinario le concessioni di coltivazione sono richieste e approvate dal Ministero dello Sviluppo Economico (MISE)</w:t>
      </w:r>
      <w:r>
        <w:rPr>
          <w:rFonts w:ascii="Arial" w:hAnsi="Arial" w:cs="Arial"/>
          <w:bCs/>
          <w:sz w:val="20"/>
          <w:szCs w:val="20"/>
        </w:rPr>
        <w:t>,</w:t>
      </w:r>
      <w:r w:rsidRPr="00D7380F">
        <w:rPr>
          <w:rFonts w:ascii="Arial" w:hAnsi="Arial" w:cs="Arial"/>
          <w:bCs/>
          <w:sz w:val="20"/>
          <w:szCs w:val="20"/>
        </w:rPr>
        <w:t xml:space="preserve"> mentre nelle Regioni a statuto speciale sono demandate a competenti uffici regionali.</w:t>
      </w:r>
    </w:p>
    <w:p w14:paraId="137B65FF"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Coste marine balneabili: </w:t>
      </w:r>
      <w:r w:rsidRPr="00D7380F">
        <w:rPr>
          <w:rFonts w:ascii="Arial" w:hAnsi="Arial" w:cs="Arial"/>
          <w:bCs/>
          <w:sz w:val="20"/>
          <w:szCs w:val="20"/>
        </w:rPr>
        <w:t>percentuale di coste balneabili autorizzate sul totale della linea litoranea ai sensi delle norme vigenti. L'indicatore è calcolato sottraendo alle acque di balneazione i tratti di costa interdetti alla balneazione per l’intera stagione balneare per livelli di contaminanti oltre le soglie di rischio per la salute.</w:t>
      </w:r>
    </w:p>
    <w:p w14:paraId="0004A335" w14:textId="77777777" w:rsidR="00A452AC" w:rsidRPr="00952267" w:rsidRDefault="00CF07FC" w:rsidP="00A452AC">
      <w:pPr>
        <w:pStyle w:val="Default"/>
        <w:spacing w:after="120"/>
        <w:jc w:val="both"/>
        <w:rPr>
          <w:rFonts w:ascii="Arial" w:hAnsi="Arial" w:cs="Arial"/>
          <w:bCs/>
          <w:color w:val="auto"/>
          <w:sz w:val="20"/>
          <w:szCs w:val="20"/>
        </w:rPr>
      </w:pPr>
      <w:r w:rsidRPr="0033497A">
        <w:rPr>
          <w:rFonts w:ascii="Arial" w:hAnsi="Arial" w:cs="Arial"/>
          <w:b/>
          <w:bCs/>
          <w:color w:val="1F497D" w:themeColor="text2"/>
          <w:sz w:val="20"/>
          <w:szCs w:val="20"/>
        </w:rPr>
        <w:t xml:space="preserve">Irrigazione: </w:t>
      </w:r>
      <w:r w:rsidRPr="00D7380F">
        <w:rPr>
          <w:rFonts w:ascii="Arial" w:hAnsi="Arial" w:cs="Arial"/>
          <w:bCs/>
          <w:sz w:val="20"/>
          <w:szCs w:val="20"/>
        </w:rPr>
        <w:t>tecnica finalizzata a soddisfare il fabbisogno idrico delle colture.</w:t>
      </w:r>
      <w:r w:rsidR="00A452AC">
        <w:rPr>
          <w:rFonts w:ascii="Arial" w:hAnsi="Arial" w:cs="Arial"/>
          <w:bCs/>
          <w:sz w:val="20"/>
          <w:szCs w:val="20"/>
        </w:rPr>
        <w:t xml:space="preserve"> </w:t>
      </w:r>
      <w:r w:rsidR="00A452AC" w:rsidRPr="00952267">
        <w:rPr>
          <w:rFonts w:ascii="Arial" w:hAnsi="Arial" w:cs="Arial"/>
          <w:bCs/>
          <w:color w:val="auto"/>
          <w:sz w:val="20"/>
          <w:szCs w:val="20"/>
        </w:rPr>
        <w:t xml:space="preserve">Nel calcolo </w:t>
      </w:r>
      <w:r w:rsidR="00A452AC">
        <w:rPr>
          <w:rFonts w:ascii="Arial" w:hAnsi="Arial" w:cs="Arial"/>
          <w:bCs/>
          <w:color w:val="auto"/>
          <w:sz w:val="20"/>
          <w:szCs w:val="20"/>
        </w:rPr>
        <w:t>degli</w:t>
      </w:r>
      <w:r w:rsidR="00A452AC" w:rsidRPr="00952267">
        <w:rPr>
          <w:rFonts w:ascii="Arial" w:hAnsi="Arial" w:cs="Arial"/>
          <w:bCs/>
          <w:color w:val="auto"/>
          <w:sz w:val="20"/>
          <w:szCs w:val="20"/>
        </w:rPr>
        <w:t xml:space="preserve"> indicatori è esclusa l’irrigazione di soccorso, ossia l’approvvigionamento d’acqua con volumi ridotti effettuato in periodi ben definiti e finalizzato a eliminare gli stress idrici che influenzano negativamente la resa della coltura.</w:t>
      </w:r>
    </w:p>
    <w:p w14:paraId="114E6BD7"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Ortive: </w:t>
      </w:r>
      <w:r w:rsidRPr="00D7380F">
        <w:rPr>
          <w:rFonts w:ascii="Arial" w:hAnsi="Arial" w:cs="Arial"/>
          <w:bCs/>
          <w:sz w:val="20"/>
          <w:szCs w:val="20"/>
        </w:rPr>
        <w:t xml:space="preserve">le colture ortive sono distinte in piena aria e protette; le prime sono coltivazioni di legumi freschi e ortaggi praticate all’aperto sia in pieno campo che in orti stabili o industriali. Le seconde sono quelle praticate al coperto (in serra, tunnel o campane) per tutto o per la maggior parte del ciclo vegetativo. Tra le coltivazioni ortive sono compresi i seguenti ortaggi o legumi freschi: acetosella, aglio, asparago, barbabietola da orto, basilico, bietola, broccoletto di rapa, carciofo, cardo, carota, cavolfiore, cavolo a penna, cavolo broccolo, cavolo cappuccio, cavolo di Bruxelles, cavolo rapa, cavolo rosso, cavolo verza, cetriolo da mensa, cetriolini, cipolla, cocomero o anguria, crescione, </w:t>
      </w:r>
      <w:proofErr w:type="spellStart"/>
      <w:r w:rsidRPr="00D7380F">
        <w:rPr>
          <w:rFonts w:ascii="Arial" w:hAnsi="Arial" w:cs="Arial"/>
          <w:bCs/>
          <w:sz w:val="20"/>
          <w:szCs w:val="20"/>
        </w:rPr>
        <w:t>fagiuolo</w:t>
      </w:r>
      <w:proofErr w:type="spellEnd"/>
      <w:r w:rsidRPr="00D7380F">
        <w:rPr>
          <w:rFonts w:ascii="Arial" w:hAnsi="Arial" w:cs="Arial"/>
          <w:bCs/>
          <w:sz w:val="20"/>
          <w:szCs w:val="20"/>
        </w:rPr>
        <w:t xml:space="preserve"> da sgusciare e fagiolini o </w:t>
      </w:r>
      <w:proofErr w:type="spellStart"/>
      <w:r w:rsidRPr="00D7380F">
        <w:rPr>
          <w:rFonts w:ascii="Arial" w:hAnsi="Arial" w:cs="Arial"/>
          <w:bCs/>
          <w:sz w:val="20"/>
          <w:szCs w:val="20"/>
        </w:rPr>
        <w:t>fagiuoli</w:t>
      </w:r>
      <w:proofErr w:type="spellEnd"/>
      <w:r w:rsidRPr="00D7380F">
        <w:rPr>
          <w:rFonts w:ascii="Arial" w:hAnsi="Arial" w:cs="Arial"/>
          <w:bCs/>
          <w:sz w:val="20"/>
          <w:szCs w:val="20"/>
        </w:rPr>
        <w:t xml:space="preserve"> mangiatutto, finocchio, fragola, insalata (indivia, lattuga, radicchio e cicoria), mais dolce, melanzana, melone o popone o cantalupo, pastinaca, peperone, pisello, piselli mangiatutto o taccole, pomodoro da industria, pomodoro da mensa, porro, prezzemolo, rabarbaro, rapa, ravanello, scalogno, scorzonera, scorzonera bianca, sedano (da coste e da foglie), sedano rapa (da radice), spinacio, timo, zucca, zucchine.</w:t>
      </w:r>
    </w:p>
    <w:p w14:paraId="14F22598" w14:textId="77777777" w:rsidR="00F34780" w:rsidRDefault="00F34780" w:rsidP="00CF07FC">
      <w:pPr>
        <w:autoSpaceDE w:val="0"/>
        <w:autoSpaceDN w:val="0"/>
        <w:adjustRightInd w:val="0"/>
        <w:spacing w:after="120"/>
        <w:jc w:val="both"/>
        <w:rPr>
          <w:rFonts w:ascii="Arial" w:hAnsi="Arial" w:cs="Arial"/>
          <w:b/>
          <w:bCs/>
          <w:color w:val="1F497D" w:themeColor="text2"/>
          <w:sz w:val="20"/>
          <w:szCs w:val="20"/>
        </w:rPr>
      </w:pPr>
    </w:p>
    <w:p w14:paraId="4A459A85"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lastRenderedPageBreak/>
        <w:t xml:space="preserve">Popolazione residente: </w:t>
      </w:r>
      <w:r w:rsidRPr="00D7380F">
        <w:rPr>
          <w:rFonts w:ascii="Arial" w:hAnsi="Arial" w:cs="Arial"/>
          <w:bCs/>
          <w:sz w:val="20"/>
          <w:szCs w:val="20"/>
        </w:rPr>
        <w:t>laddove non diversamente specificato, è la popolazione media dell’anno di riferimento, ottenuta come semisomma tra il numero di residenti registrati al 1 gennaio e al 31 dicembre.</w:t>
      </w:r>
    </w:p>
    <w:p w14:paraId="6B45C458"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Prati permanenti e pascoli: </w:t>
      </w:r>
      <w:r w:rsidRPr="00D7380F">
        <w:rPr>
          <w:rFonts w:ascii="Arial" w:hAnsi="Arial" w:cs="Arial"/>
          <w:bCs/>
          <w:sz w:val="20"/>
          <w:szCs w:val="20"/>
        </w:rPr>
        <w:t xml:space="preserve">coltivazioni foraggere erbacee fuori avvicenda-mento che occupano il terreno per un periodo superiore a cinque anni. Comprendono </w:t>
      </w:r>
      <w:r>
        <w:rPr>
          <w:rFonts w:ascii="Arial" w:hAnsi="Arial" w:cs="Arial"/>
          <w:bCs/>
          <w:sz w:val="20"/>
          <w:szCs w:val="20"/>
        </w:rPr>
        <w:t>p</w:t>
      </w:r>
      <w:r w:rsidRPr="00D7380F">
        <w:rPr>
          <w:rFonts w:ascii="Arial" w:hAnsi="Arial" w:cs="Arial"/>
          <w:bCs/>
          <w:sz w:val="20"/>
          <w:szCs w:val="20"/>
        </w:rPr>
        <w:t xml:space="preserve">rati permanenti (quando il foraggio viene, di norma, raccolto mediante falciatura) e </w:t>
      </w:r>
      <w:r>
        <w:rPr>
          <w:rFonts w:ascii="Arial" w:hAnsi="Arial" w:cs="Arial"/>
          <w:bCs/>
          <w:sz w:val="20"/>
          <w:szCs w:val="20"/>
        </w:rPr>
        <w:t>p</w:t>
      </w:r>
      <w:r w:rsidRPr="00D7380F">
        <w:rPr>
          <w:rFonts w:ascii="Arial" w:hAnsi="Arial" w:cs="Arial"/>
          <w:bCs/>
          <w:sz w:val="20"/>
          <w:szCs w:val="20"/>
        </w:rPr>
        <w:t>ascoli (quando il foraggio viene utilizzato, di regola, soltanto dal bestiame pascolante).</w:t>
      </w:r>
    </w:p>
    <w:p w14:paraId="6E8A509D"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Razionamento nell’erogazione dell’acqua: </w:t>
      </w:r>
      <w:r w:rsidRPr="00D7380F">
        <w:rPr>
          <w:rFonts w:ascii="Arial" w:hAnsi="Arial" w:cs="Arial"/>
          <w:bCs/>
          <w:sz w:val="20"/>
          <w:szCs w:val="20"/>
        </w:rPr>
        <w:t>periodi di riduzione o sospensione del servizio di fornitura dell’acqua potabile per uso domestico.</w:t>
      </w:r>
    </w:p>
    <w:p w14:paraId="4B437F8F" w14:textId="77777777"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Rete di distribuzione: </w:t>
      </w:r>
      <w:r w:rsidRPr="00D7380F">
        <w:rPr>
          <w:rFonts w:ascii="Arial" w:hAnsi="Arial" w:cs="Arial"/>
          <w:bCs/>
          <w:sz w:val="20"/>
          <w:szCs w:val="20"/>
        </w:rPr>
        <w:t>complesso di tubazioni, relativo all’intero territorio comunale che, partendo dalle vasche di alimentazione (serbatoi, vasche, impianti di pompaggio), distribuisce l’acqua ad uso potabile ai singoli punti di utilizzazione (abitazioni, stabilimenti, negozi, uffici).</w:t>
      </w:r>
    </w:p>
    <w:p w14:paraId="778179C5" w14:textId="77777777" w:rsidR="00CF07FC" w:rsidRPr="0033497A" w:rsidRDefault="00CF07FC" w:rsidP="00CF07FC">
      <w:pPr>
        <w:autoSpaceDE w:val="0"/>
        <w:autoSpaceDN w:val="0"/>
        <w:adjustRightInd w:val="0"/>
        <w:spacing w:after="120"/>
        <w:jc w:val="both"/>
        <w:rPr>
          <w:rFonts w:ascii="Arial" w:hAnsi="Arial" w:cs="Arial"/>
          <w:bCs/>
          <w:color w:val="1F497D" w:themeColor="text2"/>
          <w:sz w:val="20"/>
          <w:szCs w:val="20"/>
        </w:rPr>
      </w:pPr>
      <w:r w:rsidRPr="0033497A">
        <w:rPr>
          <w:rFonts w:ascii="Arial" w:hAnsi="Arial" w:cs="Arial"/>
          <w:b/>
          <w:bCs/>
          <w:color w:val="1F497D" w:themeColor="text2"/>
          <w:sz w:val="20"/>
          <w:szCs w:val="20"/>
        </w:rPr>
        <w:t xml:space="preserve">Sito estrattivo: </w:t>
      </w:r>
      <w:r w:rsidRPr="00D7380F">
        <w:rPr>
          <w:rFonts w:ascii="Arial" w:hAnsi="Arial" w:cs="Arial"/>
          <w:bCs/>
          <w:sz w:val="20"/>
          <w:szCs w:val="20"/>
        </w:rPr>
        <w:t>area in cui avviene un’attività estrattiva di minerali di cava o miniera.</w:t>
      </w:r>
    </w:p>
    <w:p w14:paraId="3D297F31" w14:textId="1F076BD5" w:rsidR="00CF07FC" w:rsidRPr="00D7380F" w:rsidRDefault="00CF07FC" w:rsidP="00CF07FC">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Spesa media</w:t>
      </w:r>
      <w:r w:rsidR="00997A23">
        <w:rPr>
          <w:rFonts w:ascii="Arial" w:hAnsi="Arial" w:cs="Arial"/>
          <w:b/>
          <w:bCs/>
          <w:color w:val="1F497D" w:themeColor="text2"/>
          <w:sz w:val="20"/>
          <w:szCs w:val="20"/>
        </w:rPr>
        <w:t xml:space="preserve"> delle famiglie</w:t>
      </w:r>
      <w:r w:rsidRPr="0033497A">
        <w:rPr>
          <w:rFonts w:ascii="Arial" w:hAnsi="Arial" w:cs="Arial"/>
          <w:b/>
          <w:bCs/>
          <w:color w:val="1F497D" w:themeColor="text2"/>
          <w:sz w:val="20"/>
          <w:szCs w:val="20"/>
        </w:rPr>
        <w:t xml:space="preserve">: </w:t>
      </w:r>
      <w:r w:rsidRPr="00D7380F">
        <w:rPr>
          <w:rFonts w:ascii="Arial" w:hAnsi="Arial" w:cs="Arial"/>
          <w:bCs/>
          <w:sz w:val="20"/>
          <w:szCs w:val="20"/>
        </w:rPr>
        <w:t>rapporto tra la spesa totale e il numero di famiglie residenti in Italia.</w:t>
      </w:r>
    </w:p>
    <w:p w14:paraId="7C0141C1" w14:textId="77777777" w:rsidR="00CF07FC" w:rsidRPr="00D7380F" w:rsidRDefault="00CF07FC" w:rsidP="00D91ECF">
      <w:pPr>
        <w:autoSpaceDE w:val="0"/>
        <w:autoSpaceDN w:val="0"/>
        <w:adjustRightInd w:val="0"/>
        <w:spacing w:after="120"/>
        <w:jc w:val="both"/>
        <w:rPr>
          <w:rFonts w:ascii="Arial" w:hAnsi="Arial" w:cs="Arial"/>
          <w:bCs/>
          <w:sz w:val="20"/>
          <w:szCs w:val="20"/>
        </w:rPr>
      </w:pPr>
      <w:r w:rsidRPr="0033497A">
        <w:rPr>
          <w:rFonts w:ascii="Arial" w:hAnsi="Arial" w:cs="Arial"/>
          <w:b/>
          <w:bCs/>
          <w:color w:val="1F497D" w:themeColor="text2"/>
          <w:sz w:val="20"/>
          <w:szCs w:val="20"/>
        </w:rPr>
        <w:t xml:space="preserve">Superficie agricola utilizzata (Sau): </w:t>
      </w:r>
      <w:r>
        <w:rPr>
          <w:rFonts w:ascii="Arial" w:hAnsi="Arial" w:cs="Arial"/>
          <w:bCs/>
          <w:sz w:val="20"/>
          <w:szCs w:val="20"/>
        </w:rPr>
        <w:t>i</w:t>
      </w:r>
      <w:r w:rsidRPr="00D7380F">
        <w:rPr>
          <w:rFonts w:ascii="Arial" w:hAnsi="Arial" w:cs="Arial"/>
          <w:bCs/>
          <w:sz w:val="20"/>
          <w:szCs w:val="20"/>
        </w:rPr>
        <w:t>nsieme dei terreni investiti a seminativi, coltivazioni legnose agrarie, orti familiari, prati permanenti e pascoli e castagneti da frutto. Essa costituisce la superficie investita ed effettivamente utilizzata in coltivazioni propriamente agricole. È esclusa la superficie investita a funghi in grotte, sotterranei e appositi edifici.</w:t>
      </w:r>
    </w:p>
    <w:p w14:paraId="7B68D957" w14:textId="77777777" w:rsidR="0045351B" w:rsidRPr="00427FDB" w:rsidRDefault="0045351B" w:rsidP="00D91ECF">
      <w:pPr>
        <w:pStyle w:val="Titolo3"/>
        <w:spacing w:before="0" w:beforeAutospacing="0" w:after="120" w:afterAutospacing="0"/>
        <w:rPr>
          <w:rFonts w:ascii="Arial" w:hAnsi="Arial" w:cs="Arial"/>
          <w:b w:val="0"/>
          <w:color w:val="1F497D" w:themeColor="text2"/>
          <w:sz w:val="20"/>
          <w:szCs w:val="20"/>
        </w:rPr>
      </w:pPr>
    </w:p>
    <w:p w14:paraId="0066CF74" w14:textId="77777777" w:rsidR="00CF07FC" w:rsidRPr="0007346F" w:rsidRDefault="00CF07FC" w:rsidP="00132A04">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03313789" w14:textId="77777777" w:rsidR="00952267" w:rsidRPr="00952267" w:rsidRDefault="00952267" w:rsidP="00952267">
      <w:pPr>
        <w:spacing w:after="120"/>
        <w:jc w:val="both"/>
        <w:rPr>
          <w:rFonts w:ascii="Arial" w:hAnsi="Arial" w:cs="Arial"/>
          <w:b/>
          <w:color w:val="1F497D"/>
          <w:sz w:val="22"/>
          <w:szCs w:val="22"/>
        </w:rPr>
      </w:pPr>
      <w:r w:rsidRPr="00952267">
        <w:rPr>
          <w:rFonts w:ascii="Arial" w:hAnsi="Arial" w:cs="Arial"/>
          <w:b/>
          <w:color w:val="1F497D"/>
          <w:sz w:val="22"/>
          <w:szCs w:val="22"/>
        </w:rPr>
        <w:t>I</w:t>
      </w:r>
      <w:r w:rsidR="00266FC8">
        <w:rPr>
          <w:rFonts w:ascii="Arial" w:hAnsi="Arial" w:cs="Arial"/>
          <w:b/>
          <w:color w:val="1F497D"/>
          <w:sz w:val="22"/>
          <w:szCs w:val="22"/>
        </w:rPr>
        <w:t xml:space="preserve"> prelievi e il consumo</w:t>
      </w:r>
      <w:r w:rsidRPr="00952267">
        <w:rPr>
          <w:rFonts w:ascii="Arial" w:hAnsi="Arial" w:cs="Arial"/>
          <w:b/>
          <w:color w:val="1F497D"/>
          <w:sz w:val="22"/>
          <w:szCs w:val="22"/>
        </w:rPr>
        <w:t xml:space="preserve"> delle acque per uso civile</w:t>
      </w:r>
    </w:p>
    <w:p w14:paraId="474EF63B" w14:textId="77777777" w:rsidR="00952267" w:rsidRPr="006566F2" w:rsidRDefault="00952267" w:rsidP="00952267">
      <w:pPr>
        <w:spacing w:after="120"/>
        <w:jc w:val="both"/>
        <w:rPr>
          <w:rFonts w:ascii="Arial" w:hAnsi="Arial" w:cs="Arial"/>
          <w:sz w:val="20"/>
        </w:rPr>
      </w:pPr>
      <w:r w:rsidRPr="006566F2">
        <w:rPr>
          <w:rFonts w:ascii="Arial" w:hAnsi="Arial" w:cs="Arial"/>
          <w:sz w:val="20"/>
        </w:rPr>
        <w:t>L’analisi della diffusione della misurazione delle variabili quantitative nella fase di prelievo e distribuzione dell’acqua per uso potabile è effettuata sui dati del Censimento delle acque per uso civile, rilevazione condotta dall’Istat e inserita nel Programma statistico nazionale (IST-02192).</w:t>
      </w:r>
    </w:p>
    <w:p w14:paraId="3B491CA6" w14:textId="2EE45406" w:rsidR="00952267" w:rsidRPr="006566F2" w:rsidRDefault="00952267" w:rsidP="00952267">
      <w:pPr>
        <w:spacing w:after="120"/>
        <w:jc w:val="both"/>
        <w:rPr>
          <w:rFonts w:ascii="Arial" w:hAnsi="Arial" w:cs="Arial"/>
          <w:sz w:val="20"/>
        </w:rPr>
      </w:pPr>
      <w:r w:rsidRPr="006566F2">
        <w:rPr>
          <w:rFonts w:ascii="Arial" w:hAnsi="Arial" w:cs="Arial"/>
          <w:sz w:val="20"/>
        </w:rPr>
        <w:t>Nel focus si analizzano, in particolare, i dati provenienti dalla rilevazione svolta nel 2016, che ha come anno di riferimento il 2015.</w:t>
      </w:r>
    </w:p>
    <w:p w14:paraId="7EDCDAFA" w14:textId="77777777" w:rsidR="00952267" w:rsidRPr="006566F2" w:rsidRDefault="00952267" w:rsidP="00952267">
      <w:pPr>
        <w:spacing w:after="120"/>
        <w:jc w:val="both"/>
        <w:rPr>
          <w:rFonts w:ascii="Arial" w:hAnsi="Arial" w:cs="Arial"/>
          <w:sz w:val="20"/>
        </w:rPr>
      </w:pPr>
      <w:r w:rsidRPr="006566F2">
        <w:rPr>
          <w:rFonts w:ascii="Arial" w:hAnsi="Arial" w:cs="Arial"/>
          <w:sz w:val="20"/>
        </w:rPr>
        <w:t>Il Censimento fornisce informazioni su tutta la filiera di uso pubblico delle risorse idriche, dal prelievo di acqua per uso potabile alla depurazione delle acque reflue urbane e sulle principali caratteristiche dei servizi idrici presenti in Italia.</w:t>
      </w:r>
    </w:p>
    <w:p w14:paraId="79C99E61" w14:textId="05E7E6A2" w:rsidR="00952267" w:rsidRDefault="00952267" w:rsidP="00952267">
      <w:pPr>
        <w:spacing w:after="120"/>
        <w:jc w:val="both"/>
        <w:rPr>
          <w:rFonts w:ascii="Arial" w:hAnsi="Arial" w:cs="Arial"/>
          <w:sz w:val="20"/>
        </w:rPr>
      </w:pPr>
      <w:r w:rsidRPr="006566F2">
        <w:rPr>
          <w:rFonts w:ascii="Arial" w:hAnsi="Arial" w:cs="Arial"/>
          <w:sz w:val="20"/>
        </w:rPr>
        <w:t xml:space="preserve">L’unità di rilevazione è costituita dagli enti gestori dei servizi idrici per uso civile. Le unità di analisi sono gli enti gestori e gli impianti gestiti da </w:t>
      </w:r>
      <w:r w:rsidR="00791814" w:rsidRPr="006566F2">
        <w:rPr>
          <w:rFonts w:ascii="Arial" w:hAnsi="Arial" w:cs="Arial"/>
          <w:sz w:val="20"/>
        </w:rPr>
        <w:t>ciascun</w:t>
      </w:r>
      <w:r w:rsidRPr="006566F2">
        <w:rPr>
          <w:rFonts w:ascii="Arial" w:hAnsi="Arial" w:cs="Arial"/>
          <w:sz w:val="20"/>
        </w:rPr>
        <w:t xml:space="preserve"> ente per lo svolgimento dei seguenti servizi: approvvigionamento e trasporto di acqua potabile, distribuzione dell’acqua potabile, reti fognarie e depurazione delle acque reflue urbane. I dati pervenuti sono sottoposti a procedure di controllo, correzione e validazione al fine di individuare mancate risposte parziali, valori anomali e incongruenze.</w:t>
      </w:r>
    </w:p>
    <w:p w14:paraId="04331AE7" w14:textId="39FB9D84" w:rsidR="00F7110B" w:rsidRPr="006566F2" w:rsidRDefault="004C2558" w:rsidP="00F7110B">
      <w:pPr>
        <w:spacing w:after="120"/>
        <w:jc w:val="both"/>
        <w:rPr>
          <w:rFonts w:ascii="Arial" w:hAnsi="Arial" w:cs="Arial"/>
          <w:sz w:val="20"/>
        </w:rPr>
      </w:pPr>
      <w:r>
        <w:rPr>
          <w:rFonts w:ascii="Arial" w:hAnsi="Arial" w:cs="Arial"/>
          <w:sz w:val="20"/>
        </w:rPr>
        <w:t>L</w:t>
      </w:r>
      <w:r w:rsidR="00F7110B">
        <w:rPr>
          <w:rFonts w:ascii="Arial" w:hAnsi="Arial" w:cs="Arial"/>
          <w:sz w:val="20"/>
        </w:rPr>
        <w:t>’indicatore sulle</w:t>
      </w:r>
      <w:r>
        <w:rPr>
          <w:rFonts w:ascii="Arial" w:hAnsi="Arial" w:cs="Arial"/>
          <w:sz w:val="20"/>
        </w:rPr>
        <w:t xml:space="preserve"> perdite</w:t>
      </w:r>
      <w:r w:rsidR="00F7110B">
        <w:rPr>
          <w:rFonts w:ascii="Arial" w:hAnsi="Arial" w:cs="Arial"/>
          <w:sz w:val="20"/>
        </w:rPr>
        <w:t xml:space="preserve"> </w:t>
      </w:r>
      <w:r w:rsidR="00F7110B" w:rsidRPr="00F7110B">
        <w:rPr>
          <w:rFonts w:ascii="Arial" w:hAnsi="Arial" w:cs="Arial"/>
          <w:sz w:val="20"/>
        </w:rPr>
        <w:t xml:space="preserve">idriche dalle reti di adduzione e distribuzione </w:t>
      </w:r>
      <w:r w:rsidR="00F7110B">
        <w:rPr>
          <w:rFonts w:ascii="Arial" w:hAnsi="Arial" w:cs="Arial"/>
          <w:sz w:val="20"/>
        </w:rPr>
        <w:t xml:space="preserve">è stato calcolato come differenza percentuale tra la somma dei volumi di acqua potabile erogati agli utenti </w:t>
      </w:r>
      <w:r w:rsidR="00BB53DB">
        <w:rPr>
          <w:rFonts w:ascii="Arial" w:hAnsi="Arial" w:cs="Arial"/>
          <w:sz w:val="20"/>
        </w:rPr>
        <w:t xml:space="preserve">per usi autorizzati </w:t>
      </w:r>
      <w:r w:rsidR="00F7110B">
        <w:rPr>
          <w:rFonts w:ascii="Arial" w:hAnsi="Arial" w:cs="Arial"/>
          <w:sz w:val="20"/>
        </w:rPr>
        <w:t>(sia fatturati che non</w:t>
      </w:r>
      <w:r w:rsidR="00BC526F">
        <w:rPr>
          <w:rFonts w:ascii="Arial" w:hAnsi="Arial" w:cs="Arial"/>
          <w:sz w:val="20"/>
        </w:rPr>
        <w:t xml:space="preserve"> fatturati</w:t>
      </w:r>
      <w:r w:rsidR="00F7110B">
        <w:rPr>
          <w:rFonts w:ascii="Arial" w:hAnsi="Arial" w:cs="Arial"/>
          <w:sz w:val="20"/>
        </w:rPr>
        <w:t xml:space="preserve">) e </w:t>
      </w:r>
      <w:r>
        <w:rPr>
          <w:rFonts w:ascii="Arial" w:hAnsi="Arial" w:cs="Arial"/>
          <w:sz w:val="20"/>
        </w:rPr>
        <w:t>dei</w:t>
      </w:r>
      <w:r w:rsidR="00F7110B">
        <w:rPr>
          <w:rFonts w:ascii="Arial" w:hAnsi="Arial" w:cs="Arial"/>
          <w:sz w:val="20"/>
        </w:rPr>
        <w:t xml:space="preserve"> volumi addotti all’ingrosso per usi non civili e i volumi di acqua prelevata per uso potabile.</w:t>
      </w:r>
    </w:p>
    <w:p w14:paraId="6561D40E" w14:textId="77777777" w:rsidR="00952267" w:rsidRPr="006566F2" w:rsidRDefault="00952267" w:rsidP="00952267">
      <w:pPr>
        <w:spacing w:after="120"/>
        <w:jc w:val="both"/>
        <w:rPr>
          <w:rFonts w:ascii="Arial" w:hAnsi="Arial" w:cs="Arial"/>
          <w:sz w:val="20"/>
        </w:rPr>
      </w:pPr>
      <w:r w:rsidRPr="006566F2">
        <w:rPr>
          <w:rFonts w:ascii="Arial" w:hAnsi="Arial" w:cs="Arial"/>
          <w:sz w:val="20"/>
        </w:rPr>
        <w:t>Per ulteriori approfondimenti:</w:t>
      </w:r>
    </w:p>
    <w:p w14:paraId="751105AF" w14:textId="77777777" w:rsidR="00952267" w:rsidRPr="006566F2" w:rsidRDefault="00B066D1" w:rsidP="006566F2">
      <w:pPr>
        <w:spacing w:after="120" w:line="259" w:lineRule="auto"/>
        <w:jc w:val="both"/>
        <w:rPr>
          <w:rStyle w:val="Collegamentoipertestuale"/>
          <w:rFonts w:eastAsiaTheme="minorHAnsi"/>
          <w:sz w:val="20"/>
          <w:szCs w:val="20"/>
          <w:lang w:eastAsia="en-US"/>
        </w:rPr>
      </w:pPr>
      <w:hyperlink r:id="rId22" w:history="1">
        <w:r w:rsidR="00791814" w:rsidRPr="006566F2">
          <w:rPr>
            <w:rStyle w:val="Collegamentoipertestuale"/>
            <w:rFonts w:ascii="Arial" w:eastAsiaTheme="minorHAnsi" w:hAnsi="Arial" w:cs="Arial"/>
            <w:sz w:val="20"/>
            <w:szCs w:val="20"/>
            <w:lang w:eastAsia="en-US"/>
          </w:rPr>
          <w:t>http://www.istat.it/it/archivio/207497</w:t>
        </w:r>
      </w:hyperlink>
    </w:p>
    <w:p w14:paraId="2913FA4B" w14:textId="77777777" w:rsidR="00791814" w:rsidRPr="00132A04" w:rsidRDefault="00791814" w:rsidP="00D91ECF">
      <w:pPr>
        <w:autoSpaceDE w:val="0"/>
        <w:autoSpaceDN w:val="0"/>
        <w:adjustRightInd w:val="0"/>
        <w:spacing w:after="120"/>
        <w:jc w:val="both"/>
        <w:rPr>
          <w:rFonts w:ascii="Arial" w:hAnsi="Arial" w:cs="Arial"/>
          <w:bCs/>
          <w:sz w:val="12"/>
          <w:szCs w:val="20"/>
        </w:rPr>
      </w:pPr>
    </w:p>
    <w:p w14:paraId="7E75E27D" w14:textId="77777777" w:rsidR="00CF07FC" w:rsidRPr="00427FDB" w:rsidRDefault="00CF07FC" w:rsidP="00CF07FC">
      <w:pPr>
        <w:spacing w:after="120"/>
        <w:jc w:val="both"/>
        <w:rPr>
          <w:rFonts w:ascii="Arial" w:hAnsi="Arial" w:cs="Arial"/>
          <w:b/>
          <w:color w:val="1F497D"/>
          <w:sz w:val="22"/>
          <w:szCs w:val="22"/>
        </w:rPr>
      </w:pPr>
      <w:r w:rsidRPr="00427FDB">
        <w:rPr>
          <w:rFonts w:ascii="Arial" w:hAnsi="Arial" w:cs="Arial"/>
          <w:b/>
          <w:color w:val="1F497D"/>
          <w:sz w:val="22"/>
          <w:szCs w:val="22"/>
        </w:rPr>
        <w:t>Le valutazioni e le opinioni dei cittadini nei confronti dei servizi idrici</w:t>
      </w:r>
    </w:p>
    <w:p w14:paraId="0B7ECE0C" w14:textId="77777777" w:rsidR="00CF07FC" w:rsidRPr="0033497A" w:rsidRDefault="00CF07FC" w:rsidP="00CF07FC">
      <w:pPr>
        <w:spacing w:after="120"/>
        <w:jc w:val="both"/>
        <w:rPr>
          <w:rFonts w:ascii="Arial" w:hAnsi="Arial" w:cs="Arial"/>
          <w:sz w:val="20"/>
        </w:rPr>
      </w:pPr>
      <w:r w:rsidRPr="0033497A">
        <w:rPr>
          <w:rFonts w:ascii="Arial" w:hAnsi="Arial" w:cs="Arial"/>
          <w:sz w:val="20"/>
        </w:rPr>
        <w:t>I dati presentati sulle valutazioni e le opinioni dei cittadini nei confronti dei servizi idrici provengono dall’indagine campionaria “Aspetti della vita quotidiana”. L’indagine è presente sul Programma Statistico Nazionale (IST-00204) e consente di conoscere le abitudini dei cittadini, i problemi che essi affrontano ogni giorno e il livello di soddisfazione nei confronti dei principali servizi di pubblica utilità. Scuola, lavoro, vita familiare e di relazione, abitazione e zona in cui si vive, tempo libero, partecipazione politica e sociale, salute, stili di vita sono i temi indagati.</w:t>
      </w:r>
    </w:p>
    <w:p w14:paraId="1AB366EC" w14:textId="77777777" w:rsidR="00CF07FC" w:rsidRPr="0033497A" w:rsidRDefault="00CF07FC" w:rsidP="00CF07FC">
      <w:pPr>
        <w:spacing w:after="120"/>
        <w:jc w:val="both"/>
        <w:rPr>
          <w:rFonts w:ascii="Arial" w:hAnsi="Arial" w:cs="Arial"/>
          <w:sz w:val="20"/>
        </w:rPr>
      </w:pPr>
      <w:r w:rsidRPr="0033497A">
        <w:rPr>
          <w:rFonts w:ascii="Arial" w:hAnsi="Arial" w:cs="Arial"/>
          <w:sz w:val="20"/>
        </w:rPr>
        <w:t>Dal 1993 al 2003 l'indagine è stata condotta con cadenza annuale, nel mese di novembre. Il valore per il 2004 non è presente poiché l'indagine ha subito un cambiamento del periodo di rilevazione da novembre 2004 a febbraio 2005. Per il 2018 i dati presentati si riferiscono a interviste effettuate a marzo.</w:t>
      </w:r>
    </w:p>
    <w:p w14:paraId="6F8026ED"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22623EF8" w14:textId="77777777" w:rsidR="00CF07FC" w:rsidRPr="000D16B9" w:rsidRDefault="00CF07FC" w:rsidP="00CF07FC">
      <w:pPr>
        <w:spacing w:after="120" w:line="259" w:lineRule="auto"/>
        <w:jc w:val="both"/>
        <w:rPr>
          <w:rStyle w:val="Collegamentoipertestuale"/>
          <w:rFonts w:ascii="Arial" w:eastAsiaTheme="minorHAnsi" w:hAnsi="Arial" w:cs="Arial"/>
          <w:sz w:val="20"/>
          <w:szCs w:val="20"/>
          <w:lang w:eastAsia="en-US"/>
        </w:rPr>
      </w:pPr>
      <w:r w:rsidRPr="000D16B9">
        <w:rPr>
          <w:rStyle w:val="Collegamentoipertestuale"/>
          <w:rFonts w:ascii="Arial" w:eastAsiaTheme="minorHAnsi" w:hAnsi="Arial" w:cs="Arial"/>
          <w:sz w:val="20"/>
          <w:szCs w:val="20"/>
          <w:lang w:eastAsia="en-US"/>
        </w:rPr>
        <w:t>http://www.istat.it/it/archivio/91926</w:t>
      </w:r>
    </w:p>
    <w:p w14:paraId="2E168716" w14:textId="210EB933" w:rsidR="00CF07FC" w:rsidRDefault="00B066D1" w:rsidP="00CF07FC">
      <w:pPr>
        <w:spacing w:after="120" w:line="259" w:lineRule="auto"/>
        <w:jc w:val="both"/>
        <w:rPr>
          <w:rStyle w:val="Collegamentoipertestuale"/>
          <w:rFonts w:ascii="Arial" w:eastAsiaTheme="minorHAnsi" w:hAnsi="Arial" w:cs="Arial"/>
          <w:sz w:val="20"/>
          <w:szCs w:val="20"/>
          <w:lang w:eastAsia="en-US"/>
        </w:rPr>
      </w:pPr>
      <w:hyperlink r:id="rId23" w:history="1">
        <w:r w:rsidR="003447CD" w:rsidRPr="00F85188">
          <w:rPr>
            <w:rStyle w:val="Collegamentoipertestuale"/>
            <w:rFonts w:ascii="Arial" w:eastAsiaTheme="minorHAnsi" w:hAnsi="Arial" w:cs="Arial"/>
            <w:sz w:val="20"/>
            <w:szCs w:val="20"/>
            <w:lang w:eastAsia="en-US"/>
          </w:rPr>
          <w:t>http://www.istat.it/it/archivio/4630</w:t>
        </w:r>
      </w:hyperlink>
    </w:p>
    <w:p w14:paraId="356DA8FF" w14:textId="77777777" w:rsidR="003447CD" w:rsidRPr="003447CD" w:rsidRDefault="003447CD" w:rsidP="003447CD">
      <w:pPr>
        <w:autoSpaceDE w:val="0"/>
        <w:autoSpaceDN w:val="0"/>
        <w:adjustRightInd w:val="0"/>
        <w:spacing w:after="120"/>
        <w:jc w:val="both"/>
        <w:rPr>
          <w:bCs/>
        </w:rPr>
      </w:pPr>
    </w:p>
    <w:p w14:paraId="5F3994AE" w14:textId="77777777" w:rsidR="00CF07FC" w:rsidRPr="00427FDB" w:rsidRDefault="00CF07FC" w:rsidP="00CF07FC">
      <w:pPr>
        <w:spacing w:after="120"/>
        <w:jc w:val="both"/>
        <w:rPr>
          <w:rFonts w:ascii="Arial" w:hAnsi="Arial" w:cs="Arial"/>
          <w:b/>
          <w:color w:val="1F497D"/>
          <w:sz w:val="22"/>
          <w:szCs w:val="22"/>
        </w:rPr>
      </w:pPr>
      <w:r w:rsidRPr="00427FDB">
        <w:rPr>
          <w:rFonts w:ascii="Arial" w:hAnsi="Arial" w:cs="Arial"/>
          <w:b/>
          <w:color w:val="1F497D"/>
          <w:sz w:val="22"/>
          <w:szCs w:val="22"/>
        </w:rPr>
        <w:t>Il consumo di acqua minerale e di acqua potabile per l’abitazione principale</w:t>
      </w:r>
    </w:p>
    <w:p w14:paraId="3F09BD90" w14:textId="77777777" w:rsidR="00CF07FC" w:rsidRPr="0033497A" w:rsidRDefault="00CF07FC" w:rsidP="00CF07FC">
      <w:pPr>
        <w:spacing w:after="120"/>
        <w:jc w:val="both"/>
        <w:rPr>
          <w:rFonts w:ascii="Arial" w:hAnsi="Arial" w:cs="Arial"/>
          <w:sz w:val="20"/>
        </w:rPr>
      </w:pPr>
      <w:r w:rsidRPr="0033497A">
        <w:rPr>
          <w:rFonts w:ascii="Arial" w:hAnsi="Arial" w:cs="Arial"/>
          <w:sz w:val="20"/>
        </w:rPr>
        <w:t xml:space="preserve">L'indagine dell’Istat sulle spese delle famiglie, presente sul Programma Statistico Nazionale (IST-02396), ha lo scopo di rilevare la struttura e il livello della spesa per consumi secondo le principali caratteristiche sociali, economiche e territoriali delle famiglie residenti. La rilevazione, condotta in modo continuo con tecnica CAPI (Computer </w:t>
      </w:r>
      <w:proofErr w:type="spellStart"/>
      <w:r w:rsidRPr="0033497A">
        <w:rPr>
          <w:rFonts w:ascii="Arial" w:hAnsi="Arial" w:cs="Arial"/>
          <w:sz w:val="20"/>
        </w:rPr>
        <w:t>Assisted</w:t>
      </w:r>
      <w:proofErr w:type="spellEnd"/>
      <w:r w:rsidRPr="0033497A">
        <w:rPr>
          <w:rFonts w:ascii="Arial" w:hAnsi="Arial" w:cs="Arial"/>
          <w:sz w:val="20"/>
        </w:rPr>
        <w:t xml:space="preserve"> Personal </w:t>
      </w:r>
      <w:proofErr w:type="spellStart"/>
      <w:r w:rsidRPr="0033497A">
        <w:rPr>
          <w:rFonts w:ascii="Arial" w:hAnsi="Arial" w:cs="Arial"/>
          <w:sz w:val="20"/>
        </w:rPr>
        <w:t>Interview</w:t>
      </w:r>
      <w:proofErr w:type="spellEnd"/>
      <w:r w:rsidRPr="0033497A">
        <w:rPr>
          <w:rFonts w:ascii="Arial" w:hAnsi="Arial" w:cs="Arial"/>
          <w:sz w:val="20"/>
        </w:rPr>
        <w:t xml:space="preserve">) su un campione nazionale teorico annuo di circa 28.000 famiglie, si basa su una classificazione delle voci di spesa armonizzata a livello internazionale (Classification of Individual Consumption by </w:t>
      </w:r>
      <w:proofErr w:type="spellStart"/>
      <w:r w:rsidRPr="0033497A">
        <w:rPr>
          <w:rFonts w:ascii="Arial" w:hAnsi="Arial" w:cs="Arial"/>
          <w:sz w:val="20"/>
        </w:rPr>
        <w:t>Purpose</w:t>
      </w:r>
      <w:proofErr w:type="spellEnd"/>
      <w:r w:rsidRPr="0033497A">
        <w:rPr>
          <w:rFonts w:ascii="Arial" w:hAnsi="Arial" w:cs="Arial"/>
          <w:sz w:val="20"/>
        </w:rPr>
        <w:t xml:space="preserve"> –</w:t>
      </w:r>
      <w:r w:rsidR="00BA6A9A">
        <w:rPr>
          <w:rFonts w:ascii="Arial" w:hAnsi="Arial" w:cs="Arial"/>
          <w:sz w:val="20"/>
        </w:rPr>
        <w:t xml:space="preserve"> </w:t>
      </w:r>
      <w:proofErr w:type="spellStart"/>
      <w:r w:rsidRPr="0033497A">
        <w:rPr>
          <w:rFonts w:ascii="Arial" w:hAnsi="Arial" w:cs="Arial"/>
          <w:sz w:val="20"/>
        </w:rPr>
        <w:t>Coicop</w:t>
      </w:r>
      <w:proofErr w:type="spellEnd"/>
      <w:r w:rsidRPr="0033497A">
        <w:rPr>
          <w:rFonts w:ascii="Arial" w:hAnsi="Arial" w:cs="Arial"/>
          <w:sz w:val="20"/>
        </w:rPr>
        <w:t xml:space="preserve">). L’Indagine sulle spese sostituisce dal 2014 la precedente Indagine sui consumi (condotta dal 1997 al 2013). L’attuale disegno di indagine differisce profondamente dal precedente: in particolare, sono stati ampliati i periodi di riferimento delle spese ed è stata adottata la più recente </w:t>
      </w:r>
      <w:proofErr w:type="spellStart"/>
      <w:r w:rsidRPr="0033497A">
        <w:rPr>
          <w:rFonts w:ascii="Arial" w:hAnsi="Arial" w:cs="Arial"/>
          <w:sz w:val="20"/>
        </w:rPr>
        <w:t>ECoicop</w:t>
      </w:r>
      <w:proofErr w:type="spellEnd"/>
      <w:r w:rsidRPr="0033497A">
        <w:rPr>
          <w:rFonts w:ascii="Arial" w:hAnsi="Arial" w:cs="Arial"/>
          <w:sz w:val="20"/>
        </w:rPr>
        <w:t>. Pertanto si è reso necessario ricostruire le serie storiche dei principali aggregati di spesa, a partire dal 1997. I confronti temporali tra le stime del 2014 e quelle degli anni precedenti possono dunque essere effettuati esclusivamente con i dati ricostruiti in serie storica.</w:t>
      </w:r>
    </w:p>
    <w:p w14:paraId="73BA1BCB"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45C93CD2" w14:textId="77777777" w:rsidR="00CF07FC" w:rsidRPr="000D16B9" w:rsidRDefault="00CF07FC" w:rsidP="00CF07FC">
      <w:pPr>
        <w:spacing w:after="120"/>
        <w:jc w:val="both"/>
        <w:rPr>
          <w:rStyle w:val="Collegamentoipertestuale"/>
          <w:rFonts w:ascii="Arial" w:eastAsiaTheme="minorHAnsi" w:hAnsi="Arial" w:cs="Arial"/>
          <w:sz w:val="20"/>
          <w:szCs w:val="20"/>
          <w:lang w:eastAsia="en-US"/>
        </w:rPr>
      </w:pPr>
      <w:r w:rsidRPr="000D16B9">
        <w:rPr>
          <w:rStyle w:val="Collegamentoipertestuale"/>
          <w:rFonts w:ascii="Arial" w:eastAsiaTheme="minorHAnsi" w:hAnsi="Arial" w:cs="Arial"/>
          <w:sz w:val="20"/>
          <w:szCs w:val="20"/>
          <w:lang w:eastAsia="en-US"/>
        </w:rPr>
        <w:t>https://www.istat.it/it/archivio/71980</w:t>
      </w:r>
    </w:p>
    <w:p w14:paraId="542F2AB7" w14:textId="77777777" w:rsidR="00CF07FC" w:rsidRPr="00D91ECF" w:rsidRDefault="00CF07FC" w:rsidP="00D91ECF">
      <w:pPr>
        <w:autoSpaceDE w:val="0"/>
        <w:autoSpaceDN w:val="0"/>
        <w:adjustRightInd w:val="0"/>
        <w:spacing w:after="120"/>
        <w:jc w:val="both"/>
        <w:rPr>
          <w:rFonts w:ascii="Arial" w:hAnsi="Arial" w:cs="Arial"/>
          <w:bCs/>
          <w:sz w:val="20"/>
          <w:szCs w:val="20"/>
        </w:rPr>
      </w:pPr>
    </w:p>
    <w:p w14:paraId="308693EF" w14:textId="730AEE4D" w:rsidR="00CF07FC" w:rsidRPr="00427FDB" w:rsidRDefault="00CF07FC" w:rsidP="00CF07FC">
      <w:pPr>
        <w:spacing w:after="120"/>
        <w:jc w:val="both"/>
        <w:rPr>
          <w:rFonts w:ascii="Arial" w:hAnsi="Arial" w:cs="Arial"/>
          <w:b/>
          <w:color w:val="1F497D"/>
          <w:sz w:val="22"/>
          <w:szCs w:val="22"/>
        </w:rPr>
      </w:pPr>
      <w:r w:rsidRPr="00427FDB">
        <w:rPr>
          <w:rFonts w:ascii="Arial" w:hAnsi="Arial" w:cs="Arial"/>
          <w:b/>
          <w:color w:val="1F497D"/>
          <w:sz w:val="22"/>
          <w:szCs w:val="22"/>
        </w:rPr>
        <w:t>Il razionamento dell’acqua nei comuni capoluogo di provincia</w:t>
      </w:r>
      <w:r w:rsidR="00C25CDE">
        <w:rPr>
          <w:rFonts w:ascii="Arial" w:hAnsi="Arial" w:cs="Arial"/>
          <w:b/>
          <w:color w:val="1F497D"/>
          <w:sz w:val="22"/>
          <w:szCs w:val="22"/>
        </w:rPr>
        <w:t>/</w:t>
      </w:r>
      <w:r w:rsidRPr="00427FDB">
        <w:rPr>
          <w:rFonts w:ascii="Arial" w:hAnsi="Arial" w:cs="Arial"/>
          <w:b/>
          <w:color w:val="1F497D"/>
          <w:sz w:val="22"/>
          <w:szCs w:val="22"/>
        </w:rPr>
        <w:t>città metropolitana</w:t>
      </w:r>
    </w:p>
    <w:p w14:paraId="35E60F6B" w14:textId="39784A24" w:rsidR="00CF07FC" w:rsidRPr="0033497A" w:rsidRDefault="00CF07FC" w:rsidP="00CF07FC">
      <w:pPr>
        <w:spacing w:after="120"/>
        <w:jc w:val="both"/>
        <w:rPr>
          <w:rFonts w:ascii="Arial" w:hAnsi="Arial" w:cs="Arial"/>
          <w:sz w:val="20"/>
        </w:rPr>
      </w:pPr>
      <w:r w:rsidRPr="0033497A">
        <w:rPr>
          <w:rFonts w:ascii="Arial" w:hAnsi="Arial" w:cs="Arial"/>
          <w:sz w:val="20"/>
        </w:rPr>
        <w:t>La “Rilevazione Dati ambientali nelle città</w:t>
      </w:r>
      <w:r w:rsidR="00BA6A9A">
        <w:rPr>
          <w:rFonts w:ascii="Arial" w:hAnsi="Arial" w:cs="Arial"/>
          <w:sz w:val="20"/>
        </w:rPr>
        <w:t>”</w:t>
      </w:r>
      <w:r w:rsidRPr="0033497A">
        <w:rPr>
          <w:rFonts w:ascii="Arial" w:hAnsi="Arial" w:cs="Arial"/>
          <w:sz w:val="20"/>
        </w:rPr>
        <w:t xml:space="preserve"> è effettuata annualmente dall'Istat al fine di raccogliere informazioni ambientali relative ai comuni capoluogo </w:t>
      </w:r>
      <w:r w:rsidR="003F2E37">
        <w:rPr>
          <w:rFonts w:ascii="Arial" w:hAnsi="Arial" w:cs="Arial"/>
          <w:sz w:val="20"/>
        </w:rPr>
        <w:t>provincia/</w:t>
      </w:r>
      <w:r w:rsidRPr="0033497A">
        <w:rPr>
          <w:rFonts w:ascii="Arial" w:hAnsi="Arial" w:cs="Arial"/>
          <w:sz w:val="20"/>
        </w:rPr>
        <w:t>città metropolitan</w:t>
      </w:r>
      <w:r w:rsidR="003F2E37">
        <w:rPr>
          <w:rFonts w:ascii="Arial" w:hAnsi="Arial" w:cs="Arial"/>
          <w:sz w:val="20"/>
        </w:rPr>
        <w:t>a</w:t>
      </w:r>
      <w:r w:rsidRPr="0033497A">
        <w:rPr>
          <w:rFonts w:ascii="Arial" w:hAnsi="Arial" w:cs="Arial"/>
          <w:sz w:val="20"/>
        </w:rPr>
        <w:t>. Presente nel Programma statistico nazionale (IST-00907), ha l’obiettivo di fornire indicatori utili per comporre un quadro informativo a supporto del monitoraggio dello stato dell'ambiente urbano e delle attività poste in essere dalle amministrazioni per assicurare la buona qualità dell'ambiente nelle città.</w:t>
      </w:r>
    </w:p>
    <w:p w14:paraId="55EA3C4F" w14:textId="77777777" w:rsidR="00CF07FC" w:rsidRPr="0033497A" w:rsidRDefault="00CF07FC" w:rsidP="00CF07FC">
      <w:pPr>
        <w:spacing w:after="120"/>
        <w:jc w:val="both"/>
        <w:rPr>
          <w:rFonts w:ascii="Arial" w:hAnsi="Arial" w:cs="Arial"/>
          <w:sz w:val="20"/>
        </w:rPr>
      </w:pPr>
      <w:r w:rsidRPr="0033497A">
        <w:rPr>
          <w:rFonts w:ascii="Arial" w:hAnsi="Arial" w:cs="Arial"/>
          <w:sz w:val="20"/>
        </w:rPr>
        <w:t>La rilevazione si articola in sette questionari d’indagine</w:t>
      </w:r>
      <w:r w:rsidR="00BA6A9A">
        <w:rPr>
          <w:rFonts w:ascii="Arial" w:hAnsi="Arial" w:cs="Arial"/>
          <w:sz w:val="20"/>
        </w:rPr>
        <w:t>:</w:t>
      </w:r>
      <w:r w:rsidRPr="0033497A">
        <w:rPr>
          <w:rFonts w:ascii="Arial" w:hAnsi="Arial" w:cs="Arial"/>
          <w:sz w:val="20"/>
        </w:rPr>
        <w:t xml:space="preserve"> Aria, Eco management (che include il Razionamento dell’acqua per uso civile, precedentemente rilevato nel modulo Acqua), Energia, Mobilità, Rifiuti, Rumore e Verde urbano.</w:t>
      </w:r>
    </w:p>
    <w:p w14:paraId="161884A2"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45A4FDD6" w14:textId="77777777" w:rsidR="00CF07FC" w:rsidRPr="000D16B9" w:rsidRDefault="00B066D1" w:rsidP="00CF07FC">
      <w:pPr>
        <w:spacing w:after="120"/>
        <w:jc w:val="both"/>
        <w:rPr>
          <w:rStyle w:val="Collegamentoipertestuale"/>
          <w:rFonts w:ascii="Arial" w:eastAsiaTheme="minorHAnsi" w:hAnsi="Arial" w:cs="Arial"/>
          <w:sz w:val="20"/>
          <w:szCs w:val="20"/>
          <w:lang w:eastAsia="en-US"/>
        </w:rPr>
      </w:pPr>
      <w:hyperlink r:id="rId24" w:history="1">
        <w:r w:rsidR="00CF07FC" w:rsidRPr="000D16B9">
          <w:rPr>
            <w:rStyle w:val="Collegamentoipertestuale"/>
            <w:rFonts w:ascii="Arial" w:eastAsiaTheme="minorHAnsi" w:hAnsi="Arial" w:cs="Arial"/>
            <w:sz w:val="20"/>
            <w:szCs w:val="20"/>
            <w:lang w:eastAsia="en-US"/>
          </w:rPr>
          <w:t>https://www.istat.it/it/archivio/225505</w:t>
        </w:r>
      </w:hyperlink>
    </w:p>
    <w:p w14:paraId="65AAE36A" w14:textId="77777777" w:rsidR="00CF07FC" w:rsidRPr="00D91ECF" w:rsidRDefault="00CF07FC" w:rsidP="00D91ECF">
      <w:pPr>
        <w:autoSpaceDE w:val="0"/>
        <w:autoSpaceDN w:val="0"/>
        <w:adjustRightInd w:val="0"/>
        <w:spacing w:after="120"/>
        <w:jc w:val="both"/>
        <w:rPr>
          <w:bCs/>
        </w:rPr>
      </w:pPr>
    </w:p>
    <w:p w14:paraId="67E35031" w14:textId="77777777" w:rsidR="00CF07FC" w:rsidRPr="00427FDB" w:rsidRDefault="00CF07FC" w:rsidP="00CF07FC">
      <w:pPr>
        <w:spacing w:after="120"/>
        <w:jc w:val="both"/>
        <w:rPr>
          <w:rFonts w:ascii="Arial" w:hAnsi="Arial" w:cs="Arial"/>
          <w:b/>
          <w:color w:val="1F497D"/>
          <w:sz w:val="22"/>
          <w:szCs w:val="22"/>
        </w:rPr>
      </w:pPr>
      <w:r w:rsidRPr="00427FDB">
        <w:rPr>
          <w:rFonts w:ascii="Arial" w:hAnsi="Arial" w:cs="Arial"/>
          <w:b/>
          <w:color w:val="1F497D"/>
          <w:sz w:val="22"/>
          <w:szCs w:val="22"/>
        </w:rPr>
        <w:t>L’irrigazione</w:t>
      </w:r>
    </w:p>
    <w:p w14:paraId="16885D37" w14:textId="77777777" w:rsidR="00CF07FC" w:rsidRPr="0033497A" w:rsidRDefault="00CF07FC" w:rsidP="00CF07FC">
      <w:pPr>
        <w:spacing w:after="120"/>
        <w:jc w:val="both"/>
        <w:rPr>
          <w:rFonts w:ascii="Arial" w:hAnsi="Arial" w:cs="Arial"/>
          <w:sz w:val="20"/>
        </w:rPr>
      </w:pPr>
      <w:r w:rsidRPr="0033497A">
        <w:rPr>
          <w:rFonts w:ascii="Arial" w:hAnsi="Arial" w:cs="Arial"/>
          <w:sz w:val="20"/>
        </w:rPr>
        <w:t>L’Indagine sulla struttura e produzioni delle aziende agricole è un’indagine campionaria rivolta ad un campione di 34.485 unità agricole e zootecniche incluse nel registro delle aziende agricole. L’indagine, svolta in ottemperanza al Reg. (CE) N. 1166/2008 del Parlamento Europeo e del Consiglio, rientra nel Programma Statistico nazionale con codice IST-02346.</w:t>
      </w:r>
    </w:p>
    <w:p w14:paraId="086CD2A9" w14:textId="77777777" w:rsidR="00CF07FC" w:rsidRPr="0033497A" w:rsidRDefault="00CF07FC" w:rsidP="00CF07FC">
      <w:pPr>
        <w:spacing w:after="120"/>
        <w:jc w:val="both"/>
        <w:rPr>
          <w:rFonts w:ascii="Arial" w:hAnsi="Arial" w:cs="Arial"/>
          <w:sz w:val="20"/>
        </w:rPr>
      </w:pPr>
      <w:r w:rsidRPr="0033497A">
        <w:rPr>
          <w:rFonts w:ascii="Arial" w:hAnsi="Arial" w:cs="Arial"/>
          <w:sz w:val="20"/>
        </w:rPr>
        <w:t>La rilevazione ha l’obiettivo di fornire elementi utili a monitorare l’evoluzione della struttura delle unità agricole tra i Censimenti decennali. Non meno importanti, tuttavia, sono altri aspetti indagati, legati ai fenomeni dello sviluppo rurale, dell’innovazione e della sostenibilità ambientale, utili a orientare e valutare le politiche agricole europee, nazionali e locali. I risultati dell’indagine, inoltre, saranno utilizzati ai fini dell’aggiornamento delle informazioni contenute nell’archivio delle aziende agricole.</w:t>
      </w:r>
    </w:p>
    <w:p w14:paraId="51DA6267"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41FDEE6C" w14:textId="77777777" w:rsidR="00CF07FC" w:rsidRPr="000D16B9" w:rsidRDefault="00CF07FC" w:rsidP="00CF07FC">
      <w:pPr>
        <w:spacing w:after="120"/>
        <w:jc w:val="both"/>
        <w:rPr>
          <w:rStyle w:val="Collegamentoipertestuale"/>
          <w:rFonts w:ascii="Arial" w:eastAsiaTheme="minorHAnsi" w:hAnsi="Arial" w:cs="Arial"/>
          <w:sz w:val="20"/>
          <w:szCs w:val="20"/>
          <w:lang w:eastAsia="en-US"/>
        </w:rPr>
      </w:pPr>
      <w:r w:rsidRPr="000D16B9">
        <w:rPr>
          <w:rStyle w:val="Collegamentoipertestuale"/>
          <w:rFonts w:ascii="Arial" w:eastAsiaTheme="minorHAnsi" w:hAnsi="Arial" w:cs="Arial"/>
          <w:sz w:val="20"/>
          <w:szCs w:val="20"/>
          <w:lang w:eastAsia="en-US"/>
        </w:rPr>
        <w:t>https://www.istat.it/it/archivio/8366</w:t>
      </w:r>
    </w:p>
    <w:p w14:paraId="45B07961" w14:textId="77777777" w:rsidR="00CF07FC" w:rsidRPr="00D91ECF" w:rsidRDefault="00CF07FC" w:rsidP="00D91ECF">
      <w:pPr>
        <w:autoSpaceDE w:val="0"/>
        <w:autoSpaceDN w:val="0"/>
        <w:adjustRightInd w:val="0"/>
        <w:spacing w:after="120"/>
        <w:jc w:val="both"/>
        <w:rPr>
          <w:bCs/>
        </w:rPr>
      </w:pPr>
    </w:p>
    <w:p w14:paraId="1E2D5768" w14:textId="77777777" w:rsidR="00CF07FC" w:rsidRPr="00427FDB" w:rsidRDefault="00CF07FC" w:rsidP="00CF07FC">
      <w:pPr>
        <w:spacing w:after="120"/>
        <w:jc w:val="both"/>
        <w:rPr>
          <w:rFonts w:ascii="Arial" w:hAnsi="Arial" w:cs="Arial"/>
          <w:b/>
          <w:color w:val="1F497D"/>
          <w:sz w:val="22"/>
          <w:szCs w:val="22"/>
        </w:rPr>
      </w:pPr>
      <w:r w:rsidRPr="00427FDB">
        <w:rPr>
          <w:rFonts w:ascii="Arial" w:hAnsi="Arial" w:cs="Arial"/>
          <w:b/>
          <w:color w:val="1F497D"/>
          <w:sz w:val="22"/>
          <w:szCs w:val="22"/>
        </w:rPr>
        <w:t>Le acque di balneazione marino-costiere</w:t>
      </w:r>
    </w:p>
    <w:p w14:paraId="4C7EEA1A" w14:textId="77777777" w:rsidR="00CF07FC" w:rsidRPr="0033497A" w:rsidRDefault="00CF07FC" w:rsidP="00CF07FC">
      <w:pPr>
        <w:spacing w:after="120"/>
        <w:jc w:val="both"/>
        <w:rPr>
          <w:rFonts w:ascii="Arial" w:hAnsi="Arial" w:cs="Arial"/>
          <w:sz w:val="20"/>
        </w:rPr>
      </w:pPr>
      <w:r w:rsidRPr="0033497A">
        <w:rPr>
          <w:rFonts w:ascii="Arial" w:hAnsi="Arial" w:cs="Arial"/>
          <w:sz w:val="20"/>
        </w:rPr>
        <w:t>Gli indicatori sulle acque di balneazione presentati nel focus sono il frutto della collaborazione dell’Istat con il Ministero della Salute e misurano la qualità e la lunghezza della aree del nostro Paese adibite alla balneazione. L’Istat, grazie al contributo di Regioni, Agenzie regionali per la protezione dell’ambiente e Aziende sanitarie locali, ha definito una linea litoranea omogenea sulla quale sono state riportate le aree di balneazione, i punti di prelievo e di monitoraggio. Tale linea indica uno sviluppo costiero della penisola Italiana superiore ai 9.000 chilometri, includendo anche le infrastrutture antropiche quali quelle portuali, le barriere anti-erosione, le darsene, la configurazione dei porti anche naturali, ecc., ed è una linea di costa utilizzata a soli fini statistici.</w:t>
      </w:r>
    </w:p>
    <w:p w14:paraId="3BE7BF90" w14:textId="77777777" w:rsidR="00CF07FC" w:rsidRPr="0033497A" w:rsidRDefault="00CF07FC" w:rsidP="00CF07FC">
      <w:pPr>
        <w:spacing w:after="120"/>
        <w:jc w:val="both"/>
        <w:rPr>
          <w:rFonts w:ascii="Arial" w:hAnsi="Arial" w:cs="Arial"/>
          <w:sz w:val="20"/>
        </w:rPr>
      </w:pPr>
      <w:r w:rsidRPr="0033497A">
        <w:rPr>
          <w:rFonts w:ascii="Arial" w:hAnsi="Arial" w:cs="Arial"/>
          <w:sz w:val="20"/>
        </w:rPr>
        <w:t>Le acque di balneazione sono aree definite, ai sensi della “Direttiva Balneazione” (Direttiva 2006/7/CE), come "qualsiasi parte di acque superficiali nella quale l'autorità competente prevede che un congruo numero di persone pratichi la balneazione e non ha imposto un divieto permanente di balneazione, né emesso un avviso che sconsiglia permanentemente la balneazione".</w:t>
      </w:r>
    </w:p>
    <w:p w14:paraId="44ACC22A" w14:textId="77777777" w:rsidR="00CF07FC" w:rsidRPr="0033497A" w:rsidRDefault="00CF07FC" w:rsidP="00CF07FC">
      <w:pPr>
        <w:spacing w:after="120"/>
        <w:jc w:val="both"/>
        <w:rPr>
          <w:rFonts w:ascii="Arial" w:hAnsi="Arial" w:cs="Arial"/>
          <w:sz w:val="20"/>
        </w:rPr>
      </w:pPr>
      <w:r w:rsidRPr="0033497A">
        <w:rPr>
          <w:rFonts w:ascii="Arial" w:hAnsi="Arial" w:cs="Arial"/>
          <w:sz w:val="20"/>
        </w:rPr>
        <w:lastRenderedPageBreak/>
        <w:t>Sono aree soggette a monitoraggi volti alla valutazione della “presenza di contaminazione microbiologica o di altri organismi o di rifiuti che influiscono sulla qualità delle acque di balneazione e comportano un rischio per la salute dei bagnanti". Prima dell’inizio di ogni stagione balneare viene redatto un programma di monitoraggio per ciascuna acqua di balneazione, a seguito dell’elaborazione dei dati viene poi attribuita una categoria di qualità delle acque da cui si evince il livello di inquinamento. I parametri microbiologici ricercati sono, secondo la normativa vigente, Enterococchi Intestinali ed Escherichia Coli. È prevista anche l’osservazione costante di altri fattori di interesse sanitario che, seppur non esaminati ai fini della classificazione, nel caso in cui presentino dei valori considerati a rischio per la salute, fanno scattare misure di gestione atte a prevenirne l´esposizione, inclusa un’adeguata informazione ai cittadini. Rientrano nelle acque di balneazione tutte le acque superficiali dove è praticata la balneazione: le acque marino-costiere, di transizione e interne superficiali. In questo lavoro sono state prese in considerazione solo le acque marino-costiere.</w:t>
      </w:r>
    </w:p>
    <w:p w14:paraId="32A1B0B5"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4C322FDD" w14:textId="57CFE81A" w:rsidR="00410AFA" w:rsidRDefault="00B066D1" w:rsidP="00CF07FC">
      <w:pPr>
        <w:spacing w:after="120"/>
        <w:jc w:val="both"/>
        <w:rPr>
          <w:rStyle w:val="Collegamentoipertestuale"/>
          <w:rFonts w:ascii="Arial" w:eastAsiaTheme="minorHAnsi" w:hAnsi="Arial" w:cs="Arial"/>
          <w:sz w:val="20"/>
          <w:szCs w:val="20"/>
          <w:lang w:eastAsia="en-US"/>
        </w:rPr>
      </w:pPr>
      <w:hyperlink r:id="rId25" w:history="1">
        <w:r w:rsidR="00410AFA" w:rsidRPr="006C635A">
          <w:rPr>
            <w:rStyle w:val="Collegamentoipertestuale"/>
            <w:rFonts w:ascii="Arial" w:eastAsiaTheme="minorHAnsi" w:hAnsi="Arial" w:cs="Arial"/>
            <w:sz w:val="20"/>
            <w:szCs w:val="20"/>
            <w:lang w:eastAsia="en-US"/>
          </w:rPr>
          <w:t>https://www.eea.europa.eu/publications/european-bathing-water-quality-in-2017</w:t>
        </w:r>
      </w:hyperlink>
    </w:p>
    <w:p w14:paraId="547A20CF" w14:textId="3C630967" w:rsidR="00CF07FC" w:rsidRPr="0033497A" w:rsidRDefault="00CF07FC" w:rsidP="00CF07FC">
      <w:pPr>
        <w:spacing w:after="120"/>
        <w:jc w:val="both"/>
        <w:rPr>
          <w:rStyle w:val="Collegamentoipertestuale"/>
          <w:rFonts w:eastAsiaTheme="minorHAnsi"/>
          <w:szCs w:val="20"/>
          <w:lang w:eastAsia="en-US"/>
        </w:rPr>
      </w:pPr>
      <w:r w:rsidRPr="000D16B9">
        <w:rPr>
          <w:rStyle w:val="Collegamentoipertestuale"/>
          <w:rFonts w:ascii="Arial" w:eastAsiaTheme="minorHAnsi" w:hAnsi="Arial" w:cs="Arial"/>
          <w:sz w:val="20"/>
          <w:szCs w:val="20"/>
          <w:lang w:eastAsia="en-US"/>
        </w:rPr>
        <w:t>http://www.portaleacque.salute.gov.it/PortaleAcquePubblico</w:t>
      </w:r>
      <w:r w:rsidRPr="0033497A">
        <w:rPr>
          <w:rStyle w:val="Collegamentoipertestuale"/>
          <w:rFonts w:eastAsiaTheme="minorHAnsi"/>
          <w:szCs w:val="20"/>
          <w:lang w:eastAsia="en-US"/>
        </w:rPr>
        <w:t>/</w:t>
      </w:r>
    </w:p>
    <w:p w14:paraId="6C497EBD" w14:textId="77777777" w:rsidR="00CF07FC" w:rsidRPr="00D91ECF" w:rsidRDefault="00CF07FC" w:rsidP="00D91ECF">
      <w:pPr>
        <w:autoSpaceDE w:val="0"/>
        <w:autoSpaceDN w:val="0"/>
        <w:adjustRightInd w:val="0"/>
        <w:spacing w:after="120"/>
        <w:jc w:val="both"/>
        <w:rPr>
          <w:bCs/>
        </w:rPr>
      </w:pPr>
    </w:p>
    <w:p w14:paraId="5A9002AF" w14:textId="36FADFA7" w:rsidR="00CF07FC" w:rsidRDefault="002F065D" w:rsidP="00CF07FC">
      <w:pPr>
        <w:spacing w:after="120"/>
        <w:jc w:val="both"/>
        <w:rPr>
          <w:rFonts w:ascii="Arial" w:hAnsi="Arial" w:cs="Arial"/>
          <w:b/>
          <w:color w:val="1F497D"/>
          <w:sz w:val="22"/>
          <w:szCs w:val="22"/>
        </w:rPr>
      </w:pPr>
      <w:r>
        <w:rPr>
          <w:rFonts w:ascii="Arial" w:hAnsi="Arial" w:cs="Arial"/>
          <w:b/>
          <w:color w:val="1F497D"/>
          <w:sz w:val="22"/>
          <w:szCs w:val="22"/>
        </w:rPr>
        <w:t>L’estrazione di a</w:t>
      </w:r>
      <w:r w:rsidR="00CF07FC" w:rsidRPr="00427FDB">
        <w:rPr>
          <w:rFonts w:ascii="Arial" w:hAnsi="Arial" w:cs="Arial"/>
          <w:b/>
          <w:color w:val="1F497D"/>
          <w:sz w:val="22"/>
          <w:szCs w:val="22"/>
        </w:rPr>
        <w:t>cque minerali</w:t>
      </w:r>
      <w:r>
        <w:rPr>
          <w:rFonts w:ascii="Arial" w:hAnsi="Arial" w:cs="Arial"/>
          <w:b/>
          <w:color w:val="1F497D"/>
          <w:sz w:val="22"/>
          <w:szCs w:val="22"/>
        </w:rPr>
        <w:t xml:space="preserve"> naturali</w:t>
      </w:r>
    </w:p>
    <w:p w14:paraId="61C3CE50" w14:textId="77777777" w:rsidR="00791814" w:rsidRPr="0033497A" w:rsidRDefault="00791814" w:rsidP="00791814">
      <w:pPr>
        <w:spacing w:after="120"/>
        <w:jc w:val="both"/>
        <w:rPr>
          <w:rFonts w:ascii="Arial" w:hAnsi="Arial" w:cs="Arial"/>
          <w:sz w:val="20"/>
        </w:rPr>
      </w:pPr>
      <w:r w:rsidRPr="00860C18">
        <w:rPr>
          <w:rFonts w:ascii="Arial" w:hAnsi="Arial" w:cs="Arial"/>
          <w:sz w:val="20"/>
        </w:rPr>
        <w:t xml:space="preserve">In presenza di un’offerta disomogenea e frammentata delle statistiche sul </w:t>
      </w:r>
      <w:r w:rsidRPr="0033497A">
        <w:rPr>
          <w:rFonts w:ascii="Arial" w:hAnsi="Arial" w:cs="Arial"/>
          <w:sz w:val="20"/>
        </w:rPr>
        <w:t>settore estrattivo e di un crescente fabbisogno informativo proveniente dal contesto istituzionale nazionale e internazionale è stata avviata per la prima volta nel 2015 e condotta nuovamente nel 2017-2018 la rilevazione “Pressione antropica e rischi naturali” inserita nel Programma Statistico Nazionale (IST-02559) e avente per oggetto le attività estrattive di risorse minerali da cave e miniere a livello regionale, con la finalità di evidenziare anche aspetti legati alle pressioni esercitate sull’ambiente naturale e nel territorio.</w:t>
      </w:r>
    </w:p>
    <w:p w14:paraId="2FCEABA1" w14:textId="26610D3E" w:rsidR="00791814" w:rsidRPr="0033497A" w:rsidRDefault="00791814" w:rsidP="00791814">
      <w:pPr>
        <w:spacing w:after="120"/>
        <w:jc w:val="both"/>
        <w:rPr>
          <w:rFonts w:ascii="Arial" w:hAnsi="Arial" w:cs="Arial"/>
          <w:sz w:val="20"/>
        </w:rPr>
      </w:pPr>
      <w:r w:rsidRPr="0033497A">
        <w:rPr>
          <w:rFonts w:ascii="Arial" w:hAnsi="Arial" w:cs="Arial"/>
          <w:sz w:val="20"/>
        </w:rPr>
        <w:t>Con la seconda edizione della rilevazione sono state raccolti per gli anni 2015 e 2016 dati e informazioni sulle estrazioni di minerali di prima (miniere) e seconda categoria (cave), sulla base della classificazione delle sostanze minerali del Regio Decreto 1443/1927, punto di riferimento della legislazione nazionale in materia estrattiva. Estendendo il campo di osservazione, sono stati raccolti per la prima volta anche dati sui prelievi di acque minerali e termali per Regione. Non sono oggetto della rilevazione le estrazioni di minerali che producono energia.</w:t>
      </w:r>
    </w:p>
    <w:p w14:paraId="269B0DCA" w14:textId="34504CBB" w:rsidR="00791814" w:rsidRPr="0033497A" w:rsidRDefault="00791814" w:rsidP="00791814">
      <w:pPr>
        <w:spacing w:after="120"/>
        <w:jc w:val="both"/>
        <w:rPr>
          <w:rFonts w:ascii="Arial" w:hAnsi="Arial" w:cs="Arial"/>
          <w:sz w:val="20"/>
        </w:rPr>
      </w:pPr>
      <w:r w:rsidRPr="0033497A">
        <w:rPr>
          <w:rFonts w:ascii="Arial" w:hAnsi="Arial" w:cs="Arial"/>
          <w:sz w:val="20"/>
        </w:rPr>
        <w:t>I microdati sono acquisiti dagli archivi amministrativi delle Istituzioni pubbliche locali responsabili in materia estrattiva di minerali che non producono energia (coinvolgendo anche gli Uffici di Statistica delle Regioni) attraverso gli Uffici Tecnici di settore collocati presso Regioni, Province, Province Autonome di Trento e Bolzano, Distretti Minerari della Sicilia</w:t>
      </w:r>
      <w:r w:rsidR="00620410">
        <w:rPr>
          <w:rFonts w:ascii="Arial" w:hAnsi="Arial" w:cs="Arial"/>
          <w:sz w:val="20"/>
        </w:rPr>
        <w:t>.</w:t>
      </w:r>
    </w:p>
    <w:p w14:paraId="256CD11B" w14:textId="77777777" w:rsidR="00BA6A9A" w:rsidRDefault="00860C18" w:rsidP="00CF07FC">
      <w:pPr>
        <w:spacing w:after="120"/>
        <w:jc w:val="both"/>
        <w:rPr>
          <w:rFonts w:ascii="Arial" w:hAnsi="Arial" w:cs="Arial"/>
          <w:sz w:val="20"/>
          <w:szCs w:val="20"/>
        </w:rPr>
      </w:pPr>
      <w:r w:rsidRPr="00427FDB">
        <w:rPr>
          <w:rFonts w:ascii="Arial" w:hAnsi="Arial" w:cs="Arial"/>
          <w:sz w:val="20"/>
          <w:szCs w:val="20"/>
        </w:rPr>
        <w:t xml:space="preserve">Secondo quanto disposto dal Regio Decreto del 1927 (normativa ancora vigente in materia estrattiva nazionale), le acque minerali fanno parte delle sostanze minerali di prima categoria e sono comprese nelle attività delle miniere. Quindi i prelievi sono sottoposti ad un regime amministrativo di concessioni rilasciate dalle Istituzioni pubbliche locali competenti, ai fini dello sfruttamento e della valorizzazione economica di tali risorse. </w:t>
      </w:r>
    </w:p>
    <w:p w14:paraId="5A9EC0AA" w14:textId="7728B4E0" w:rsidR="00791814" w:rsidRDefault="00860C18" w:rsidP="00CF07FC">
      <w:pPr>
        <w:spacing w:after="120"/>
        <w:jc w:val="both"/>
        <w:rPr>
          <w:rFonts w:ascii="Arial" w:hAnsi="Arial" w:cs="Arial"/>
          <w:sz w:val="20"/>
          <w:szCs w:val="20"/>
        </w:rPr>
      </w:pPr>
      <w:r w:rsidRPr="00427FDB">
        <w:rPr>
          <w:rFonts w:ascii="Arial" w:hAnsi="Arial" w:cs="Arial"/>
          <w:sz w:val="20"/>
          <w:szCs w:val="20"/>
        </w:rPr>
        <w:t>In ambito comunitario, la Direttiva 2009/54/CE del Parlamento Europeo disciplina utilizzazione e commercializzazione delle acque minerali naturali. Il Decreto Legislativo n. 176/2011 che la recepisce ha portato alcune novità in materia. Sono considerate acque minerali naturali le acque che, avendo origine da una falda o giacimento sotterraneo, provengono da una o più sorgenti naturali o derivanti da perforazioni e che hanno caratteristiche igieniche particolari ed eventualmente proprietà favorevoli per la salute.</w:t>
      </w:r>
    </w:p>
    <w:p w14:paraId="03B529AB" w14:textId="77777777" w:rsidR="00CF07FC" w:rsidRPr="0033497A" w:rsidRDefault="00CF07FC" w:rsidP="00CF07FC">
      <w:pPr>
        <w:spacing w:after="120"/>
        <w:jc w:val="both"/>
        <w:rPr>
          <w:rFonts w:ascii="Arial" w:hAnsi="Arial" w:cs="Arial"/>
          <w:sz w:val="20"/>
        </w:rPr>
      </w:pPr>
      <w:r w:rsidRPr="0033497A">
        <w:rPr>
          <w:rFonts w:ascii="Arial" w:hAnsi="Arial" w:cs="Arial"/>
          <w:sz w:val="20"/>
        </w:rPr>
        <w:t>Per ulteriori approfondimenti:</w:t>
      </w:r>
    </w:p>
    <w:p w14:paraId="448CFB5E" w14:textId="28DBC2AC" w:rsidR="008736B0" w:rsidRDefault="00CF07FC" w:rsidP="00D91ECF">
      <w:pPr>
        <w:spacing w:after="120"/>
        <w:jc w:val="both"/>
        <w:rPr>
          <w:rFonts w:ascii="Arial" w:hAnsi="Arial" w:cs="Arial"/>
          <w:b/>
          <w:bCs/>
          <w:sz w:val="26"/>
          <w:szCs w:val="26"/>
        </w:rPr>
      </w:pPr>
      <w:r w:rsidRPr="00D7380F">
        <w:rPr>
          <w:rStyle w:val="Collegamentoipertestuale"/>
          <w:rFonts w:ascii="Arial" w:eastAsiaTheme="minorHAnsi" w:hAnsi="Arial" w:cs="Arial"/>
          <w:sz w:val="20"/>
          <w:szCs w:val="20"/>
          <w:lang w:eastAsia="en-US"/>
        </w:rPr>
        <w:t>https://www.istat.it/it/files/2019/01/Report_Attivit%C3%A0_estrattive_2015-2016.pdf</w:t>
      </w:r>
    </w:p>
    <w:sectPr w:rsidR="008736B0" w:rsidSect="00132A04">
      <w:footerReference w:type="default" r:id="rId26"/>
      <w:type w:val="continuous"/>
      <w:pgSz w:w="11906" w:h="16838" w:code="9"/>
      <w:pgMar w:top="567" w:right="851" w:bottom="680" w:left="851" w:header="0" w:footer="73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CAB75" w14:textId="77777777" w:rsidR="00B066D1" w:rsidRDefault="00B066D1">
      <w:r>
        <w:separator/>
      </w:r>
    </w:p>
  </w:endnote>
  <w:endnote w:type="continuationSeparator" w:id="0">
    <w:p w14:paraId="4248C18F" w14:textId="77777777" w:rsidR="00B066D1" w:rsidRDefault="00B0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A33D1" w14:textId="77777777" w:rsidR="004367E2" w:rsidRDefault="00FE3526">
    <w:pPr>
      <w:pStyle w:val="Pidipagina"/>
      <w:framePr w:wrap="around" w:vAnchor="text" w:hAnchor="margin" w:xAlign="right" w:y="1"/>
      <w:rPr>
        <w:rStyle w:val="Numeropagina"/>
      </w:rPr>
    </w:pPr>
    <w:r>
      <w:rPr>
        <w:rStyle w:val="Numeropagina"/>
      </w:rPr>
      <w:fldChar w:fldCharType="begin"/>
    </w:r>
    <w:r w:rsidR="004367E2">
      <w:rPr>
        <w:rStyle w:val="Numeropagina"/>
      </w:rPr>
      <w:instrText xml:space="preserve">PAGE  </w:instrText>
    </w:r>
    <w:r>
      <w:rPr>
        <w:rStyle w:val="Numeropagina"/>
      </w:rPr>
      <w:fldChar w:fldCharType="end"/>
    </w:r>
  </w:p>
  <w:p w14:paraId="5742A2E1" w14:textId="77777777" w:rsidR="004367E2" w:rsidRDefault="004367E2">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35918"/>
      <w:docPartObj>
        <w:docPartGallery w:val="Page Numbers (Bottom of Page)"/>
        <w:docPartUnique/>
      </w:docPartObj>
    </w:sdtPr>
    <w:sdtEndPr/>
    <w:sdtContent>
      <w:p w14:paraId="7919EBF1" w14:textId="77777777" w:rsidR="004367E2" w:rsidRDefault="00FE3526">
        <w:pPr>
          <w:pStyle w:val="Pidipagina"/>
        </w:pPr>
        <w:r>
          <w:fldChar w:fldCharType="begin"/>
        </w:r>
        <w:r w:rsidR="004367E2">
          <w:instrText>PAGE   \* MERGEFORMAT</w:instrText>
        </w:r>
        <w:r>
          <w:fldChar w:fldCharType="separate"/>
        </w:r>
        <w:r w:rsidR="00CA2526">
          <w:rPr>
            <w:noProof/>
          </w:rPr>
          <w:t>2</w:t>
        </w:r>
        <w:r>
          <w:fldChar w:fldCharType="end"/>
        </w:r>
      </w:p>
    </w:sdtContent>
  </w:sdt>
  <w:p w14:paraId="727D6E70" w14:textId="77777777" w:rsidR="004367E2" w:rsidRDefault="004367E2"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89D4" w14:textId="77777777" w:rsidR="004367E2" w:rsidRPr="00C469C4" w:rsidRDefault="004367E2" w:rsidP="00C469C4">
    <w:pPr>
      <w:pStyle w:val="Pidipagina"/>
      <w:ind w:left="-851"/>
      <w:rPr>
        <w:sz w:val="18"/>
      </w:rPr>
    </w:pPr>
    <w:r>
      <w:rPr>
        <w:noProof/>
        <w:sz w:val="18"/>
      </w:rPr>
      <w:drawing>
        <wp:inline distT="0" distB="0" distL="0" distR="0" wp14:anchorId="23C2F4EC" wp14:editId="093AC1A7">
          <wp:extent cx="7560000" cy="1645200"/>
          <wp:effectExtent l="0" t="0" r="0" b="635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highlight w:val="lightGray"/>
      </w:rPr>
      <w:id w:val="-1302685971"/>
      <w:docPartObj>
        <w:docPartGallery w:val="Page Numbers (Bottom of Page)"/>
        <w:docPartUnique/>
      </w:docPartObj>
    </w:sdtPr>
    <w:sdtEndPr/>
    <w:sdtContent>
      <w:p w14:paraId="18F1D8F9" w14:textId="63BBD040" w:rsidR="004367E2" w:rsidRDefault="00007402">
        <w:pPr>
          <w:rPr>
            <w:rFonts w:asciiTheme="majorHAnsi" w:eastAsiaTheme="majorEastAsia" w:hAnsiTheme="majorHAnsi" w:cstheme="majorBidi"/>
          </w:rPr>
        </w:pPr>
        <w:r>
          <w:rPr>
            <w:noProof/>
            <w:sz w:val="28"/>
            <w:szCs w:val="28"/>
          </w:rPr>
          <mc:AlternateContent>
            <mc:Choice Requires="wps">
              <w:drawing>
                <wp:anchor distT="4294967295" distB="4294967295" distL="114300" distR="114300" simplePos="0" relativeHeight="251646464" behindDoc="0" locked="0" layoutInCell="1" allowOverlap="1" wp14:anchorId="58CCC277" wp14:editId="6E3D1E70">
                  <wp:simplePos x="0" y="0"/>
                  <wp:positionH relativeFrom="column">
                    <wp:posOffset>-3810</wp:posOffset>
                  </wp:positionH>
                  <wp:positionV relativeFrom="paragraph">
                    <wp:posOffset>-71755</wp:posOffset>
                  </wp:positionV>
                  <wp:extent cx="6299835" cy="0"/>
                  <wp:effectExtent l="0" t="0" r="24765" b="19050"/>
                  <wp:wrapNone/>
                  <wp:docPr id="30" name="Connettore 1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3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5.65pt" to="49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" strokecolor="white [3212]" strokeweight="1.25pt">
                  <o:lock v:ext="edit" shapetype="f"/>
                </v:line>
              </w:pict>
            </mc:Fallback>
          </mc:AlternateContent>
        </w:r>
        <w:r w:rsidR="00476028">
          <w:rPr>
            <w:noProof/>
            <w:sz w:val="28"/>
            <w:szCs w:val="28"/>
          </w:rPr>
          <mc:AlternateContent>
            <mc:Choice Requires="wps">
              <w:drawing>
                <wp:anchor distT="4294967295" distB="4294967295" distL="114300" distR="114300" simplePos="0" relativeHeight="251645440" behindDoc="0" locked="0" layoutInCell="1" allowOverlap="1" wp14:anchorId="26D6D613" wp14:editId="37310297">
                  <wp:simplePos x="0" y="0"/>
                  <wp:positionH relativeFrom="column">
                    <wp:posOffset>-2870</wp:posOffset>
                  </wp:positionH>
                  <wp:positionV relativeFrom="paragraph">
                    <wp:posOffset>-2493645</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28"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96.35pt" to="495.8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" strokecolor="white [3212]" strokeweight="1.25pt">
                  <o:lock v:ext="edit" shapetype="f"/>
                </v:line>
              </w:pict>
            </mc:Fallback>
          </mc:AlternateContent>
        </w:r>
        <w:r w:rsidR="004367E2" w:rsidRPr="00A17739">
          <w:rPr>
            <w:rFonts w:ascii="Arial" w:hAnsi="Arial" w:cs="Arial"/>
            <w:noProof/>
            <w:sz w:val="22"/>
            <w:szCs w:val="22"/>
          </w:rPr>
          <w:drawing>
            <wp:anchor distT="0" distB="0" distL="114300" distR="114300" simplePos="0" relativeHeight="251644416" behindDoc="0" locked="0" layoutInCell="1" allowOverlap="1" wp14:anchorId="68E2F750" wp14:editId="2EE7E4A7">
              <wp:simplePos x="0" y="0"/>
              <wp:positionH relativeFrom="column">
                <wp:posOffset>-545465</wp:posOffset>
              </wp:positionH>
              <wp:positionV relativeFrom="paragraph">
                <wp:posOffset>-3345505</wp:posOffset>
              </wp:positionV>
              <wp:extent cx="466725" cy="483235"/>
              <wp:effectExtent l="0" t="0" r="9525" b="0"/>
              <wp:wrapNone/>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1631510004"/>
            <w:docPartObj>
              <w:docPartGallery w:val="Page Numbers (Margins)"/>
              <w:docPartUnique/>
            </w:docPartObj>
          </w:sdtPr>
          <w:sdtEndPr/>
          <w:sdtContent>
            <w:r w:rsidR="002F3A78">
              <w:rPr>
                <w:rFonts w:ascii="Arial Narrow" w:hAnsi="Arial Narrow"/>
                <w:noProof/>
                <w:color w:val="FFFFFF" w:themeColor="background1"/>
              </w:rPr>
              <mc:AlternateContent>
                <mc:Choice Requires="wps">
                  <w:drawing>
                    <wp:anchor distT="0" distB="0" distL="114300" distR="114300" simplePos="0" relativeHeight="251643392" behindDoc="0" locked="0" layoutInCell="0" allowOverlap="1" wp14:anchorId="03B976F7" wp14:editId="7D159700">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a:extLst/>
                            </wps:spPr>
                            <wps:txbx>
                              <w:txbxContent>
                                <w:p w14:paraId="222E345C" w14:textId="77777777" w:rsidR="004367E2" w:rsidRPr="001B745D" w:rsidRDefault="00FE352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4367E2"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E510C">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ttangolo 4" o:spid="_x0000_s1034" style="position:absolute;margin-left:14.1pt;margin-top:768.35pt;width:31.4pt;height:25.95pt;z-index:25164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" o:allowincell="f" filled="f" stroked="f">
                      <v:textbox>
                        <w:txbxContent>
                          <w:p w14:paraId="222E345C" w14:textId="77777777" w:rsidR="004367E2" w:rsidRPr="001B745D" w:rsidRDefault="00FE3526"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4367E2"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E510C">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sidR="004367E2">
              <w:rPr>
                <w:noProof/>
              </w:rPr>
              <w:drawing>
                <wp:anchor distT="0" distB="0" distL="114300" distR="114300" simplePos="0" relativeHeight="251642368" behindDoc="0" locked="0" layoutInCell="1" allowOverlap="1" wp14:anchorId="404EE0D2" wp14:editId="2D13C204">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sidR="002F3A78">
              <w:rPr>
                <w:rFonts w:asciiTheme="majorHAnsi" w:eastAsiaTheme="majorEastAsia" w:hAnsiTheme="majorHAnsi" w:cstheme="majorBidi"/>
                <w:noProof/>
              </w:rPr>
              <mc:AlternateContent>
                <mc:Choice Requires="wps">
                  <w:drawing>
                    <wp:anchor distT="0" distB="0" distL="114300" distR="114300" simplePos="0" relativeHeight="251641344" behindDoc="0" locked="0" layoutInCell="1" allowOverlap="1" wp14:anchorId="6A06D23E" wp14:editId="22BC769B">
                      <wp:simplePos x="0" y="0"/>
                      <wp:positionH relativeFrom="column">
                        <wp:posOffset>-620395</wp:posOffset>
                      </wp:positionH>
                      <wp:positionV relativeFrom="paragraph">
                        <wp:posOffset>-3084195</wp:posOffset>
                      </wp:positionV>
                      <wp:extent cx="7553325" cy="3476625"/>
                      <wp:effectExtent l="0" t="0" r="9525" b="952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B469A9" id="Rettangolo 10" o:spid="_x0000_s1026" style="position:absolute;margin-left:-48.85pt;margin-top:-242.85pt;width:594.75pt;height:27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" fillcolor="#d8d8d8 [2732]" stroked="f" strokeweight="2pt">
                      <v:path arrowok="t"/>
                    </v:rect>
                  </w:pict>
                </mc:Fallback>
              </mc:AlternateContent>
            </w:r>
          </w:sdtContent>
        </w:sdt>
      </w:p>
    </w:sdtContent>
  </w:sdt>
  <w:p w14:paraId="111D7A23" w14:textId="77777777" w:rsidR="004367E2" w:rsidRDefault="004367E2"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highlight w:val="lightGray"/>
      </w:rPr>
      <w:id w:val="-293366158"/>
      <w:docPartObj>
        <w:docPartGallery w:val="Page Numbers (Bottom of Page)"/>
        <w:docPartUnique/>
      </w:docPartObj>
    </w:sdtPr>
    <w:sdtEndPr/>
    <w:sdtContent>
      <w:p w14:paraId="56316126" w14:textId="628470B1" w:rsidR="004367E2" w:rsidRDefault="00F34780">
        <w:pPr>
          <w:rPr>
            <w:rFonts w:asciiTheme="majorHAnsi" w:eastAsiaTheme="majorEastAsia" w:hAnsiTheme="majorHAnsi" w:cstheme="majorBidi"/>
          </w:rPr>
        </w:pPr>
        <w:r>
          <w:rPr>
            <w:rFonts w:ascii="Arial Narrow" w:hAnsi="Arial Narrow"/>
            <w:noProof/>
            <w:color w:val="FFFFFF" w:themeColor="background1"/>
          </w:rPr>
          <mc:AlternateContent>
            <mc:Choice Requires="wps">
              <w:drawing>
                <wp:anchor distT="0" distB="0" distL="114300" distR="114300" simplePos="0" relativeHeight="251676160" behindDoc="0" locked="0" layoutInCell="0" allowOverlap="1" wp14:anchorId="23262B35" wp14:editId="0DE41CCE">
                  <wp:simplePos x="0" y="0"/>
                  <wp:positionH relativeFrom="rightMargin">
                    <wp:posOffset>90805</wp:posOffset>
                  </wp:positionH>
                  <wp:positionV relativeFrom="margin">
                    <wp:posOffset>9771380</wp:posOffset>
                  </wp:positionV>
                  <wp:extent cx="398780" cy="329565"/>
                  <wp:effectExtent l="0" t="0" r="0" b="0"/>
                  <wp:wrapNone/>
                  <wp:docPr id="13"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a:extLst/>
                        </wps:spPr>
                        <wps:txbx>
                          <w:txbxContent>
                            <w:p w14:paraId="3A2C3FDD" w14:textId="77777777" w:rsidR="00F34780" w:rsidRPr="001B745D" w:rsidRDefault="00F34780" w:rsidP="00F3478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E510C">
                                <w:rPr>
                                  <w:rFonts w:ascii="Arial" w:hAnsi="Arial" w:cs="Arial"/>
                                  <w:b/>
                                  <w:noProof/>
                                  <w:color w:val="244061" w:themeColor="accent1" w:themeShade="80"/>
                                  <w:sz w:val="20"/>
                                  <w:szCs w:val="20"/>
                                </w:rPr>
                                <w:t>3</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35" style="position:absolute;margin-left:7.15pt;margin-top:769.4pt;width:31.4pt;height:25.95pt;z-index:25167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" o:allowincell="f" filled="f" stroked="f">
                  <v:textbox>
                    <w:txbxContent>
                      <w:p w14:paraId="3A2C3FDD" w14:textId="77777777" w:rsidR="00F34780" w:rsidRPr="001B745D" w:rsidRDefault="00F34780" w:rsidP="00F34780">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6E510C">
                          <w:rPr>
                            <w:rFonts w:ascii="Arial" w:hAnsi="Arial" w:cs="Arial"/>
                            <w:b/>
                            <w:noProof/>
                            <w:color w:val="244061" w:themeColor="accent1" w:themeShade="80"/>
                            <w:sz w:val="20"/>
                            <w:szCs w:val="20"/>
                          </w:rPr>
                          <w:t>3</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40319" behindDoc="0" locked="0" layoutInCell="1" allowOverlap="1" wp14:anchorId="23012CE3" wp14:editId="7A15169E">
              <wp:simplePos x="0" y="0"/>
              <wp:positionH relativeFrom="column">
                <wp:posOffset>5765165</wp:posOffset>
              </wp:positionH>
              <wp:positionV relativeFrom="paragraph">
                <wp:posOffset>-128905</wp:posOffset>
              </wp:positionV>
              <wp:extent cx="1256030" cy="788035"/>
              <wp:effectExtent l="0" t="0" r="127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r w:rsidR="002F3A78">
          <w:rPr>
            <w:noProof/>
            <w:sz w:val="28"/>
            <w:szCs w:val="28"/>
          </w:rPr>
          <mc:AlternateContent>
            <mc:Choice Requires="wps">
              <w:drawing>
                <wp:anchor distT="4294967295" distB="4294967295" distL="114300" distR="114300" simplePos="0" relativeHeight="251649536" behindDoc="0" locked="0" layoutInCell="1" allowOverlap="1" wp14:anchorId="331EE93B" wp14:editId="43E65CDE">
                  <wp:simplePos x="0" y="0"/>
                  <wp:positionH relativeFrom="column">
                    <wp:posOffset>13335</wp:posOffset>
                  </wp:positionH>
                  <wp:positionV relativeFrom="paragraph">
                    <wp:posOffset>-71756</wp:posOffset>
                  </wp:positionV>
                  <wp:extent cx="6299835" cy="0"/>
                  <wp:effectExtent l="0" t="0" r="24765" b="19050"/>
                  <wp:wrapNone/>
                  <wp:docPr id="45"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A53C6A7" id="Connettore 1 45"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5.65pt" to="4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" strokecolor="white [3212]" strokeweight="1.25pt">
                  <o:lock v:ext="edit" shapetype="f"/>
                </v:line>
              </w:pict>
            </mc:Fallback>
          </mc:AlternateContent>
        </w:r>
        <w:r w:rsidR="002F3A78">
          <w:rPr>
            <w:noProof/>
            <w:sz w:val="28"/>
            <w:szCs w:val="28"/>
          </w:rPr>
          <mc:AlternateContent>
            <mc:Choice Requires="wps">
              <w:drawing>
                <wp:anchor distT="4294967295" distB="4294967295" distL="114300" distR="114300" simplePos="0" relativeHeight="251648512" behindDoc="0" locked="0" layoutInCell="1" allowOverlap="1" wp14:anchorId="778581B8" wp14:editId="57CE5E36">
                  <wp:simplePos x="0" y="0"/>
                  <wp:positionH relativeFrom="column">
                    <wp:posOffset>13970</wp:posOffset>
                  </wp:positionH>
                  <wp:positionV relativeFrom="paragraph">
                    <wp:posOffset>-2493646</wp:posOffset>
                  </wp:positionV>
                  <wp:extent cx="6299835" cy="0"/>
                  <wp:effectExtent l="0" t="0" r="24765" b="19050"/>
                  <wp:wrapNone/>
                  <wp:docPr id="46" name="Connettore 1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F4C2663" id="Connettore 1 46"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196.35pt" to="497.1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" strokecolor="white [3212]" strokeweight="1.25pt">
                  <o:lock v:ext="edit" shapetype="f"/>
                </v:line>
              </w:pict>
            </mc:Fallback>
          </mc:AlternateContent>
        </w:r>
        <w:sdt>
          <w:sdtPr>
            <w:rPr>
              <w:rFonts w:asciiTheme="majorHAnsi" w:eastAsiaTheme="majorEastAsia" w:hAnsiTheme="majorHAnsi" w:cstheme="majorBidi"/>
              <w:highlight w:val="lightGray"/>
            </w:rPr>
            <w:id w:val="-106426946"/>
            <w:docPartObj>
              <w:docPartGallery w:val="Page Numbers (Margins)"/>
              <w:docPartUnique/>
            </w:docPartObj>
          </w:sdtPr>
          <w:sdtEndP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E1627" w14:textId="77777777" w:rsidR="00B066D1" w:rsidRDefault="00B066D1">
      <w:r>
        <w:separator/>
      </w:r>
    </w:p>
  </w:footnote>
  <w:footnote w:type="continuationSeparator" w:id="0">
    <w:p w14:paraId="43914450" w14:textId="77777777" w:rsidR="00B066D1" w:rsidRDefault="00B06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BFC5D" w14:textId="77777777" w:rsidR="004367E2" w:rsidRDefault="002F3A78"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199F4EE2" wp14:editId="0FA1E2EF">
              <wp:simplePos x="0" y="0"/>
              <wp:positionH relativeFrom="column">
                <wp:posOffset>5383530</wp:posOffset>
              </wp:positionH>
              <wp:positionV relativeFrom="paragraph">
                <wp:posOffset>-57785</wp:posOffset>
              </wp:positionV>
              <wp:extent cx="162560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a:extLst/>
                    </wps:spPr>
                    <wps:txbx>
                      <w:txbxContent>
                        <w:p w14:paraId="2C37A5C5" w14:textId="77777777" w:rsidR="004367E2" w:rsidRPr="00A804E3" w:rsidRDefault="004367E2" w:rsidP="00DF2FE2">
                          <w:pPr>
                            <w:autoSpaceDE w:val="0"/>
                            <w:autoSpaceDN w:val="0"/>
                            <w:adjustRightInd w:val="0"/>
                            <w:jc w:val="center"/>
                            <w:rPr>
                              <w:rFonts w:ascii="Arial Narrow" w:hAnsi="Arial Narrow" w:cs="Arial"/>
                              <w:b/>
                              <w:bCs/>
                              <w:color w:val="FFFFFF" w:themeColor="background1"/>
                              <w:sz w:val="8"/>
                              <w:szCs w:val="26"/>
                            </w:rPr>
                          </w:pPr>
                        </w:p>
                        <w:p w14:paraId="6DDF37E7" w14:textId="77777777" w:rsidR="004367E2" w:rsidRPr="00690C34" w:rsidRDefault="004367E2"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22 MARZO</w:t>
                          </w:r>
                          <w:r w:rsidRPr="00690C34">
                            <w:rPr>
                              <w:rFonts w:ascii="Arial Narrow" w:hAnsi="Arial Narrow" w:cs="Arial"/>
                              <w:b/>
                              <w:bCs/>
                              <w:color w:val="FFFFFF" w:themeColor="background1"/>
                              <w:sz w:val="26"/>
                              <w:szCs w:val="26"/>
                            </w:rPr>
                            <w:t xml:space="preserve"> 201</w:t>
                          </w:r>
                          <w:r>
                            <w:rPr>
                              <w:rFonts w:ascii="Arial Narrow" w:hAnsi="Arial Narrow" w:cs="Arial"/>
                              <w:b/>
                              <w:bCs/>
                              <w:color w:val="FFFFFF" w:themeColor="background1"/>
                              <w:sz w:val="26"/>
                              <w:szCs w:val="26"/>
                            </w:rPr>
                            <w:t>9</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423.9pt;margin-top:-4.55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s0CAIAAPo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" fillcolor="#1f497d [3215]" stroked="f">
              <v:textbox inset="1.5mm,,1.5mm">
                <w:txbxContent>
                  <w:p w14:paraId="2C37A5C5" w14:textId="77777777" w:rsidR="004367E2" w:rsidRPr="00A804E3" w:rsidRDefault="004367E2" w:rsidP="00DF2FE2">
                    <w:pPr>
                      <w:autoSpaceDE w:val="0"/>
                      <w:autoSpaceDN w:val="0"/>
                      <w:adjustRightInd w:val="0"/>
                      <w:jc w:val="center"/>
                      <w:rPr>
                        <w:rFonts w:ascii="Arial Narrow" w:hAnsi="Arial Narrow" w:cs="Arial"/>
                        <w:b/>
                        <w:bCs/>
                        <w:color w:val="FFFFFF" w:themeColor="background1"/>
                        <w:sz w:val="8"/>
                        <w:szCs w:val="26"/>
                      </w:rPr>
                    </w:pPr>
                  </w:p>
                  <w:p w14:paraId="6DDF37E7" w14:textId="77777777" w:rsidR="004367E2" w:rsidRPr="00690C34" w:rsidRDefault="004367E2"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22 MARZO</w:t>
                    </w:r>
                    <w:r w:rsidRPr="00690C34">
                      <w:rPr>
                        <w:rFonts w:ascii="Arial Narrow" w:hAnsi="Arial Narrow" w:cs="Arial"/>
                        <w:b/>
                        <w:bCs/>
                        <w:color w:val="FFFFFF" w:themeColor="background1"/>
                        <w:sz w:val="26"/>
                        <w:szCs w:val="26"/>
                      </w:rPr>
                      <w:t xml:space="preserve"> 201</w:t>
                    </w:r>
                    <w:r>
                      <w:rPr>
                        <w:rFonts w:ascii="Arial Narrow" w:hAnsi="Arial Narrow" w:cs="Arial"/>
                        <w:b/>
                        <w:bCs/>
                        <w:color w:val="FFFFFF" w:themeColor="background1"/>
                        <w:sz w:val="26"/>
                        <w:szCs w:val="26"/>
                      </w:rPr>
                      <w:t>9</w:t>
                    </w:r>
                  </w:p>
                </w:txbxContent>
              </v:textbox>
            </v:shape>
          </w:pict>
        </mc:Fallback>
      </mc:AlternateContent>
    </w:r>
    <w:r w:rsidR="004367E2">
      <w:rPr>
        <w:noProof/>
      </w:rPr>
      <w:drawing>
        <wp:inline distT="0" distB="0" distL="0" distR="0" wp14:anchorId="508BB274" wp14:editId="1A49FEDC">
          <wp:extent cx="7560000" cy="1645200"/>
          <wp:effectExtent l="0" t="0" r="0" b="635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640"/>
      <w:gridCol w:w="2699"/>
    </w:tblGrid>
    <w:tr w:rsidR="004367E2" w:rsidRPr="00DD6CCE" w14:paraId="69590D4F" w14:textId="77777777" w:rsidTr="008D6A83">
      <w:trPr>
        <w:trHeight w:hRule="exact" w:val="567"/>
      </w:trPr>
      <w:tc>
        <w:tcPr>
          <w:tcW w:w="9640" w:type="dxa"/>
          <w:shd w:val="clear" w:color="auto" w:fill="1F497D" w:themeFill="text2"/>
          <w:vAlign w:val="center"/>
        </w:tcPr>
        <w:p w14:paraId="7A6854BD" w14:textId="77777777" w:rsidR="004367E2" w:rsidRPr="005D6783" w:rsidRDefault="004367E2" w:rsidP="00110E39">
          <w:pPr>
            <w:pStyle w:val="Intestazione"/>
            <w:spacing w:before="120"/>
            <w:ind w:left="431"/>
            <w:jc w:val="left"/>
            <w:rPr>
              <w:rFonts w:ascii="Arial Narrow" w:hAnsi="Arial Narrow"/>
              <w:color w:val="FFFFFF" w:themeColor="background1"/>
              <w:sz w:val="24"/>
            </w:rPr>
          </w:pPr>
          <w:r w:rsidRPr="00110E39">
            <w:rPr>
              <w:rFonts w:ascii="Arial Narrow" w:hAnsi="Arial Narrow"/>
              <w:color w:val="FFFFFF" w:themeColor="background1"/>
              <w:sz w:val="24"/>
            </w:rPr>
            <w:t>GIORNATA MONDIALE DELL’ACQUA</w:t>
          </w:r>
        </w:p>
      </w:tc>
      <w:tc>
        <w:tcPr>
          <w:tcW w:w="2699" w:type="dxa"/>
          <w:shd w:val="clear" w:color="auto" w:fill="1F497D" w:themeFill="text2"/>
          <w:vAlign w:val="center"/>
        </w:tcPr>
        <w:p w14:paraId="0F87D73E" w14:textId="77777777" w:rsidR="004367E2" w:rsidRPr="00DD6CCE" w:rsidRDefault="004367E2" w:rsidP="00D7426E">
          <w:pPr>
            <w:pStyle w:val="Intestazione"/>
            <w:ind w:left="284" w:hanging="100"/>
            <w:jc w:val="left"/>
            <w:rPr>
              <w:color w:val="FFFFFF" w:themeColor="background1"/>
            </w:rPr>
          </w:pPr>
          <w:r>
            <w:rPr>
              <w:noProof/>
              <w:color w:val="FFFFFF" w:themeColor="background1"/>
            </w:rPr>
            <w:drawing>
              <wp:anchor distT="0" distB="0" distL="114300" distR="114300" simplePos="0" relativeHeight="251674112" behindDoc="0" locked="0" layoutInCell="1" allowOverlap="1" wp14:anchorId="2E23D4D3" wp14:editId="0FBD1F1D">
                <wp:simplePos x="0" y="0"/>
                <wp:positionH relativeFrom="column">
                  <wp:posOffset>467360</wp:posOffset>
                </wp:positionH>
                <wp:positionV relativeFrom="paragraph">
                  <wp:posOffset>-8255</wp:posOffset>
                </wp:positionV>
                <wp:extent cx="705485" cy="201295"/>
                <wp:effectExtent l="0" t="0" r="0" b="825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705485" cy="201295"/>
                        </a:xfrm>
                        <a:prstGeom prst="rect">
                          <a:avLst/>
                        </a:prstGeom>
                      </pic:spPr>
                    </pic:pic>
                  </a:graphicData>
                </a:graphic>
                <wp14:sizeRelH relativeFrom="margin">
                  <wp14:pctWidth>0</wp14:pctWidth>
                </wp14:sizeRelH>
                <wp14:sizeRelV relativeFrom="margin">
                  <wp14:pctHeight>0</wp14:pctHeight>
                </wp14:sizeRelV>
              </wp:anchor>
            </w:drawing>
          </w:r>
        </w:p>
      </w:tc>
    </w:tr>
  </w:tbl>
  <w:p w14:paraId="18607AD9" w14:textId="77777777" w:rsidR="004367E2" w:rsidRPr="007D0BF5" w:rsidRDefault="004367E2" w:rsidP="00B15087">
    <w:pPr>
      <w:pStyle w:val="Intestazione"/>
      <w:tabs>
        <w:tab w:val="clear" w:pos="4819"/>
        <w:tab w:val="clear" w:pos="9638"/>
        <w:tab w:val="left" w:pos="5959"/>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4FF"/>
    <w:rsid w:val="000009DB"/>
    <w:rsid w:val="00000DE6"/>
    <w:rsid w:val="00001256"/>
    <w:rsid w:val="00001763"/>
    <w:rsid w:val="000020C7"/>
    <w:rsid w:val="00002177"/>
    <w:rsid w:val="0000396F"/>
    <w:rsid w:val="000042EB"/>
    <w:rsid w:val="00006D10"/>
    <w:rsid w:val="00007066"/>
    <w:rsid w:val="00007402"/>
    <w:rsid w:val="00007413"/>
    <w:rsid w:val="000075FC"/>
    <w:rsid w:val="0000784B"/>
    <w:rsid w:val="00007F49"/>
    <w:rsid w:val="00010170"/>
    <w:rsid w:val="00011037"/>
    <w:rsid w:val="00011F64"/>
    <w:rsid w:val="00014F90"/>
    <w:rsid w:val="0001544F"/>
    <w:rsid w:val="00021B43"/>
    <w:rsid w:val="00022348"/>
    <w:rsid w:val="00023B4F"/>
    <w:rsid w:val="0002428F"/>
    <w:rsid w:val="00024C26"/>
    <w:rsid w:val="0002505D"/>
    <w:rsid w:val="00030D17"/>
    <w:rsid w:val="00031115"/>
    <w:rsid w:val="000314C2"/>
    <w:rsid w:val="0003264F"/>
    <w:rsid w:val="0003298F"/>
    <w:rsid w:val="00033419"/>
    <w:rsid w:val="00033F2B"/>
    <w:rsid w:val="000343A2"/>
    <w:rsid w:val="00035516"/>
    <w:rsid w:val="00036154"/>
    <w:rsid w:val="000363BC"/>
    <w:rsid w:val="000405C5"/>
    <w:rsid w:val="00040B97"/>
    <w:rsid w:val="0004131D"/>
    <w:rsid w:val="00041DC5"/>
    <w:rsid w:val="00042012"/>
    <w:rsid w:val="0004216B"/>
    <w:rsid w:val="000425AA"/>
    <w:rsid w:val="000426E7"/>
    <w:rsid w:val="00043696"/>
    <w:rsid w:val="000444BF"/>
    <w:rsid w:val="00044BA7"/>
    <w:rsid w:val="0004526F"/>
    <w:rsid w:val="00045472"/>
    <w:rsid w:val="000467F2"/>
    <w:rsid w:val="000471C0"/>
    <w:rsid w:val="00047479"/>
    <w:rsid w:val="0004769F"/>
    <w:rsid w:val="000476DC"/>
    <w:rsid w:val="00047A1F"/>
    <w:rsid w:val="000507CF"/>
    <w:rsid w:val="00050808"/>
    <w:rsid w:val="0005356B"/>
    <w:rsid w:val="000541C4"/>
    <w:rsid w:val="000541EC"/>
    <w:rsid w:val="0005451A"/>
    <w:rsid w:val="000552CB"/>
    <w:rsid w:val="0005544C"/>
    <w:rsid w:val="00057A64"/>
    <w:rsid w:val="00057EFB"/>
    <w:rsid w:val="00062A73"/>
    <w:rsid w:val="00062F1B"/>
    <w:rsid w:val="000635D3"/>
    <w:rsid w:val="00063871"/>
    <w:rsid w:val="00064102"/>
    <w:rsid w:val="0006419A"/>
    <w:rsid w:val="0006502E"/>
    <w:rsid w:val="000665DC"/>
    <w:rsid w:val="00066F5C"/>
    <w:rsid w:val="000679B2"/>
    <w:rsid w:val="00067EF6"/>
    <w:rsid w:val="0007093C"/>
    <w:rsid w:val="00070FF7"/>
    <w:rsid w:val="0007112A"/>
    <w:rsid w:val="000717CD"/>
    <w:rsid w:val="0007183B"/>
    <w:rsid w:val="000718B8"/>
    <w:rsid w:val="00071F99"/>
    <w:rsid w:val="00072EE8"/>
    <w:rsid w:val="0007346F"/>
    <w:rsid w:val="000737C5"/>
    <w:rsid w:val="00075049"/>
    <w:rsid w:val="00075DA5"/>
    <w:rsid w:val="00076B04"/>
    <w:rsid w:val="00077332"/>
    <w:rsid w:val="00080193"/>
    <w:rsid w:val="00081681"/>
    <w:rsid w:val="000824CF"/>
    <w:rsid w:val="00082F25"/>
    <w:rsid w:val="00082F91"/>
    <w:rsid w:val="0008395F"/>
    <w:rsid w:val="000839B2"/>
    <w:rsid w:val="000839E6"/>
    <w:rsid w:val="00083EA8"/>
    <w:rsid w:val="00084031"/>
    <w:rsid w:val="0008427D"/>
    <w:rsid w:val="000843B1"/>
    <w:rsid w:val="0008573D"/>
    <w:rsid w:val="00085D39"/>
    <w:rsid w:val="0008701E"/>
    <w:rsid w:val="000871AA"/>
    <w:rsid w:val="00087F2B"/>
    <w:rsid w:val="00090BDD"/>
    <w:rsid w:val="0009160A"/>
    <w:rsid w:val="000940FB"/>
    <w:rsid w:val="0009519B"/>
    <w:rsid w:val="00095707"/>
    <w:rsid w:val="00096098"/>
    <w:rsid w:val="000A0304"/>
    <w:rsid w:val="000A1A44"/>
    <w:rsid w:val="000A2B36"/>
    <w:rsid w:val="000A2CE3"/>
    <w:rsid w:val="000A35DD"/>
    <w:rsid w:val="000A3DA6"/>
    <w:rsid w:val="000A4F3E"/>
    <w:rsid w:val="000A557B"/>
    <w:rsid w:val="000A5962"/>
    <w:rsid w:val="000A7BD2"/>
    <w:rsid w:val="000B0188"/>
    <w:rsid w:val="000B2771"/>
    <w:rsid w:val="000B33BB"/>
    <w:rsid w:val="000B4257"/>
    <w:rsid w:val="000B54EA"/>
    <w:rsid w:val="000B5CF0"/>
    <w:rsid w:val="000B5F30"/>
    <w:rsid w:val="000B5F37"/>
    <w:rsid w:val="000B6060"/>
    <w:rsid w:val="000B68CB"/>
    <w:rsid w:val="000B6E6E"/>
    <w:rsid w:val="000B78AF"/>
    <w:rsid w:val="000C0178"/>
    <w:rsid w:val="000C0B3C"/>
    <w:rsid w:val="000C0E96"/>
    <w:rsid w:val="000C1BE6"/>
    <w:rsid w:val="000C23C8"/>
    <w:rsid w:val="000C24A9"/>
    <w:rsid w:val="000C2AF7"/>
    <w:rsid w:val="000C3ACA"/>
    <w:rsid w:val="000C5D95"/>
    <w:rsid w:val="000C5DC0"/>
    <w:rsid w:val="000C683D"/>
    <w:rsid w:val="000C6D3F"/>
    <w:rsid w:val="000C6EEB"/>
    <w:rsid w:val="000C76F6"/>
    <w:rsid w:val="000C7AF6"/>
    <w:rsid w:val="000C7E7F"/>
    <w:rsid w:val="000D01FA"/>
    <w:rsid w:val="000D20C3"/>
    <w:rsid w:val="000D31ED"/>
    <w:rsid w:val="000D3343"/>
    <w:rsid w:val="000D3BE3"/>
    <w:rsid w:val="000D4395"/>
    <w:rsid w:val="000D4700"/>
    <w:rsid w:val="000D49B6"/>
    <w:rsid w:val="000D4EA0"/>
    <w:rsid w:val="000D5E76"/>
    <w:rsid w:val="000D61A6"/>
    <w:rsid w:val="000D758D"/>
    <w:rsid w:val="000D7F4B"/>
    <w:rsid w:val="000E01E0"/>
    <w:rsid w:val="000E18F7"/>
    <w:rsid w:val="000E2017"/>
    <w:rsid w:val="000E2097"/>
    <w:rsid w:val="000E28C7"/>
    <w:rsid w:val="000E2C69"/>
    <w:rsid w:val="000E2F7A"/>
    <w:rsid w:val="000E3177"/>
    <w:rsid w:val="000E4C5D"/>
    <w:rsid w:val="000E78C7"/>
    <w:rsid w:val="000F080C"/>
    <w:rsid w:val="000F0DE8"/>
    <w:rsid w:val="000F2103"/>
    <w:rsid w:val="000F56B4"/>
    <w:rsid w:val="000F5E14"/>
    <w:rsid w:val="000F5F7E"/>
    <w:rsid w:val="000F61BC"/>
    <w:rsid w:val="000F6BD7"/>
    <w:rsid w:val="000F6D28"/>
    <w:rsid w:val="000F73C6"/>
    <w:rsid w:val="000F7425"/>
    <w:rsid w:val="00101A70"/>
    <w:rsid w:val="00101EBD"/>
    <w:rsid w:val="00102064"/>
    <w:rsid w:val="00102103"/>
    <w:rsid w:val="00102185"/>
    <w:rsid w:val="00102284"/>
    <w:rsid w:val="00102379"/>
    <w:rsid w:val="00102CFD"/>
    <w:rsid w:val="001035E3"/>
    <w:rsid w:val="001038B2"/>
    <w:rsid w:val="001042B2"/>
    <w:rsid w:val="00104474"/>
    <w:rsid w:val="00104E17"/>
    <w:rsid w:val="001051FB"/>
    <w:rsid w:val="00105931"/>
    <w:rsid w:val="001059FA"/>
    <w:rsid w:val="00107CB3"/>
    <w:rsid w:val="00110E39"/>
    <w:rsid w:val="00111A23"/>
    <w:rsid w:val="00111DB1"/>
    <w:rsid w:val="001122CA"/>
    <w:rsid w:val="00112B06"/>
    <w:rsid w:val="00112D4E"/>
    <w:rsid w:val="00112DB1"/>
    <w:rsid w:val="00113587"/>
    <w:rsid w:val="0011459A"/>
    <w:rsid w:val="00116BF2"/>
    <w:rsid w:val="001178D5"/>
    <w:rsid w:val="00117C9A"/>
    <w:rsid w:val="00117FB6"/>
    <w:rsid w:val="00117FE2"/>
    <w:rsid w:val="0012282C"/>
    <w:rsid w:val="00123033"/>
    <w:rsid w:val="00123063"/>
    <w:rsid w:val="00123934"/>
    <w:rsid w:val="0012394C"/>
    <w:rsid w:val="00123A55"/>
    <w:rsid w:val="00124010"/>
    <w:rsid w:val="00124944"/>
    <w:rsid w:val="001249FF"/>
    <w:rsid w:val="00125DBF"/>
    <w:rsid w:val="001266B6"/>
    <w:rsid w:val="00127A7C"/>
    <w:rsid w:val="00131166"/>
    <w:rsid w:val="00131B50"/>
    <w:rsid w:val="001321B6"/>
    <w:rsid w:val="00132A04"/>
    <w:rsid w:val="00133310"/>
    <w:rsid w:val="001341C5"/>
    <w:rsid w:val="001349F8"/>
    <w:rsid w:val="00134D86"/>
    <w:rsid w:val="001350C3"/>
    <w:rsid w:val="00135378"/>
    <w:rsid w:val="00135B50"/>
    <w:rsid w:val="00135FCE"/>
    <w:rsid w:val="00136280"/>
    <w:rsid w:val="001365DB"/>
    <w:rsid w:val="001365F6"/>
    <w:rsid w:val="00136A09"/>
    <w:rsid w:val="00137C1A"/>
    <w:rsid w:val="00137D7F"/>
    <w:rsid w:val="00140586"/>
    <w:rsid w:val="001408FB"/>
    <w:rsid w:val="00141C03"/>
    <w:rsid w:val="0014327D"/>
    <w:rsid w:val="0014340B"/>
    <w:rsid w:val="0014476F"/>
    <w:rsid w:val="001471E6"/>
    <w:rsid w:val="001512E9"/>
    <w:rsid w:val="001517D8"/>
    <w:rsid w:val="001519D2"/>
    <w:rsid w:val="001523E8"/>
    <w:rsid w:val="001526DB"/>
    <w:rsid w:val="001529A0"/>
    <w:rsid w:val="00152C53"/>
    <w:rsid w:val="00153311"/>
    <w:rsid w:val="00154705"/>
    <w:rsid w:val="00154931"/>
    <w:rsid w:val="00156870"/>
    <w:rsid w:val="00157219"/>
    <w:rsid w:val="00157F5E"/>
    <w:rsid w:val="00161868"/>
    <w:rsid w:val="00161959"/>
    <w:rsid w:val="00161A02"/>
    <w:rsid w:val="0016246E"/>
    <w:rsid w:val="0016359C"/>
    <w:rsid w:val="00163CE2"/>
    <w:rsid w:val="00164274"/>
    <w:rsid w:val="001661BE"/>
    <w:rsid w:val="001663CB"/>
    <w:rsid w:val="00166B6E"/>
    <w:rsid w:val="00166CBD"/>
    <w:rsid w:val="00166DC0"/>
    <w:rsid w:val="00167170"/>
    <w:rsid w:val="00170CD2"/>
    <w:rsid w:val="00171303"/>
    <w:rsid w:val="0017149D"/>
    <w:rsid w:val="001715AE"/>
    <w:rsid w:val="00171977"/>
    <w:rsid w:val="00173008"/>
    <w:rsid w:val="00174FE1"/>
    <w:rsid w:val="001754E7"/>
    <w:rsid w:val="00176707"/>
    <w:rsid w:val="00176D20"/>
    <w:rsid w:val="0018019C"/>
    <w:rsid w:val="00180E98"/>
    <w:rsid w:val="00181074"/>
    <w:rsid w:val="00181263"/>
    <w:rsid w:val="001815CC"/>
    <w:rsid w:val="00181A18"/>
    <w:rsid w:val="00181C60"/>
    <w:rsid w:val="00182588"/>
    <w:rsid w:val="00182894"/>
    <w:rsid w:val="0018414D"/>
    <w:rsid w:val="00184D99"/>
    <w:rsid w:val="00187341"/>
    <w:rsid w:val="00190006"/>
    <w:rsid w:val="00191477"/>
    <w:rsid w:val="001917F1"/>
    <w:rsid w:val="00191EA1"/>
    <w:rsid w:val="00192922"/>
    <w:rsid w:val="00193A8D"/>
    <w:rsid w:val="00194F41"/>
    <w:rsid w:val="0019500F"/>
    <w:rsid w:val="00195299"/>
    <w:rsid w:val="00195481"/>
    <w:rsid w:val="001958B2"/>
    <w:rsid w:val="0019616E"/>
    <w:rsid w:val="0019745C"/>
    <w:rsid w:val="00197C56"/>
    <w:rsid w:val="00197D76"/>
    <w:rsid w:val="001A0217"/>
    <w:rsid w:val="001A10C1"/>
    <w:rsid w:val="001A1346"/>
    <w:rsid w:val="001A29C8"/>
    <w:rsid w:val="001A4277"/>
    <w:rsid w:val="001A4C6D"/>
    <w:rsid w:val="001A611B"/>
    <w:rsid w:val="001A62B0"/>
    <w:rsid w:val="001A62B5"/>
    <w:rsid w:val="001A7CAF"/>
    <w:rsid w:val="001A7F1A"/>
    <w:rsid w:val="001B2315"/>
    <w:rsid w:val="001B41C2"/>
    <w:rsid w:val="001B4D79"/>
    <w:rsid w:val="001B59AD"/>
    <w:rsid w:val="001B64E1"/>
    <w:rsid w:val="001B743D"/>
    <w:rsid w:val="001B745D"/>
    <w:rsid w:val="001B74E8"/>
    <w:rsid w:val="001C0092"/>
    <w:rsid w:val="001C0BF3"/>
    <w:rsid w:val="001C1BF9"/>
    <w:rsid w:val="001C3445"/>
    <w:rsid w:val="001C3E12"/>
    <w:rsid w:val="001C5221"/>
    <w:rsid w:val="001C6222"/>
    <w:rsid w:val="001C635F"/>
    <w:rsid w:val="001C6D75"/>
    <w:rsid w:val="001C77B0"/>
    <w:rsid w:val="001D0137"/>
    <w:rsid w:val="001D0EB7"/>
    <w:rsid w:val="001D3DA7"/>
    <w:rsid w:val="001D475E"/>
    <w:rsid w:val="001D4AA6"/>
    <w:rsid w:val="001D5186"/>
    <w:rsid w:val="001D5578"/>
    <w:rsid w:val="001D6301"/>
    <w:rsid w:val="001D64EE"/>
    <w:rsid w:val="001D6BC4"/>
    <w:rsid w:val="001D6FBA"/>
    <w:rsid w:val="001D7102"/>
    <w:rsid w:val="001D75A9"/>
    <w:rsid w:val="001D7A31"/>
    <w:rsid w:val="001D7A7B"/>
    <w:rsid w:val="001D7ED4"/>
    <w:rsid w:val="001E1BA2"/>
    <w:rsid w:val="001E3DFD"/>
    <w:rsid w:val="001E42F3"/>
    <w:rsid w:val="001E4E8C"/>
    <w:rsid w:val="001E6D2C"/>
    <w:rsid w:val="001F01CD"/>
    <w:rsid w:val="001F1697"/>
    <w:rsid w:val="001F23F1"/>
    <w:rsid w:val="001F2C5D"/>
    <w:rsid w:val="001F2DCA"/>
    <w:rsid w:val="001F486C"/>
    <w:rsid w:val="001F58C7"/>
    <w:rsid w:val="001F5D7B"/>
    <w:rsid w:val="001F609C"/>
    <w:rsid w:val="001F61BA"/>
    <w:rsid w:val="001F6677"/>
    <w:rsid w:val="002000AC"/>
    <w:rsid w:val="0020087D"/>
    <w:rsid w:val="00202C51"/>
    <w:rsid w:val="00202E62"/>
    <w:rsid w:val="00203F9E"/>
    <w:rsid w:val="0020556C"/>
    <w:rsid w:val="002056F7"/>
    <w:rsid w:val="00205ADF"/>
    <w:rsid w:val="00205D0A"/>
    <w:rsid w:val="00206DEE"/>
    <w:rsid w:val="002072B2"/>
    <w:rsid w:val="002103C3"/>
    <w:rsid w:val="0021085C"/>
    <w:rsid w:val="00210DA8"/>
    <w:rsid w:val="00210DE0"/>
    <w:rsid w:val="00210FBA"/>
    <w:rsid w:val="002116AD"/>
    <w:rsid w:val="0021197E"/>
    <w:rsid w:val="00212529"/>
    <w:rsid w:val="00213727"/>
    <w:rsid w:val="002137BA"/>
    <w:rsid w:val="00214722"/>
    <w:rsid w:val="00214B49"/>
    <w:rsid w:val="00215A97"/>
    <w:rsid w:val="00215FD0"/>
    <w:rsid w:val="00220D5E"/>
    <w:rsid w:val="00221079"/>
    <w:rsid w:val="002222D4"/>
    <w:rsid w:val="00222966"/>
    <w:rsid w:val="00224936"/>
    <w:rsid w:val="00225077"/>
    <w:rsid w:val="00225A82"/>
    <w:rsid w:val="00226116"/>
    <w:rsid w:val="002268E7"/>
    <w:rsid w:val="00226C04"/>
    <w:rsid w:val="00226FE1"/>
    <w:rsid w:val="00230239"/>
    <w:rsid w:val="00230982"/>
    <w:rsid w:val="00230AF5"/>
    <w:rsid w:val="00230DD7"/>
    <w:rsid w:val="002323B9"/>
    <w:rsid w:val="002330DF"/>
    <w:rsid w:val="0023528D"/>
    <w:rsid w:val="002402C9"/>
    <w:rsid w:val="00240909"/>
    <w:rsid w:val="00243F15"/>
    <w:rsid w:val="00244329"/>
    <w:rsid w:val="0024497E"/>
    <w:rsid w:val="00246065"/>
    <w:rsid w:val="00246642"/>
    <w:rsid w:val="0024697E"/>
    <w:rsid w:val="0024708F"/>
    <w:rsid w:val="00250448"/>
    <w:rsid w:val="00250A8D"/>
    <w:rsid w:val="00251CA6"/>
    <w:rsid w:val="00251E12"/>
    <w:rsid w:val="002521EC"/>
    <w:rsid w:val="0025287B"/>
    <w:rsid w:val="002533A7"/>
    <w:rsid w:val="002542DD"/>
    <w:rsid w:val="00254523"/>
    <w:rsid w:val="00254851"/>
    <w:rsid w:val="002556BD"/>
    <w:rsid w:val="00255A74"/>
    <w:rsid w:val="00255D3D"/>
    <w:rsid w:val="002568ED"/>
    <w:rsid w:val="00257003"/>
    <w:rsid w:val="002573E5"/>
    <w:rsid w:val="00257F7D"/>
    <w:rsid w:val="002604A1"/>
    <w:rsid w:val="00261723"/>
    <w:rsid w:val="002617CA"/>
    <w:rsid w:val="002617E8"/>
    <w:rsid w:val="00261BED"/>
    <w:rsid w:val="00261E46"/>
    <w:rsid w:val="0026334D"/>
    <w:rsid w:val="00263991"/>
    <w:rsid w:val="00264171"/>
    <w:rsid w:val="00264598"/>
    <w:rsid w:val="00264BF7"/>
    <w:rsid w:val="00264DC5"/>
    <w:rsid w:val="002655FE"/>
    <w:rsid w:val="002665A8"/>
    <w:rsid w:val="00266C71"/>
    <w:rsid w:val="00266FC8"/>
    <w:rsid w:val="002674BB"/>
    <w:rsid w:val="002700BA"/>
    <w:rsid w:val="00270E8B"/>
    <w:rsid w:val="00271B23"/>
    <w:rsid w:val="0027204B"/>
    <w:rsid w:val="002722DA"/>
    <w:rsid w:val="00272675"/>
    <w:rsid w:val="0027327E"/>
    <w:rsid w:val="002734A4"/>
    <w:rsid w:val="00273608"/>
    <w:rsid w:val="00273A74"/>
    <w:rsid w:val="00274B00"/>
    <w:rsid w:val="00274B22"/>
    <w:rsid w:val="00274C09"/>
    <w:rsid w:val="00274CE3"/>
    <w:rsid w:val="002754C1"/>
    <w:rsid w:val="00275E9E"/>
    <w:rsid w:val="00275EB9"/>
    <w:rsid w:val="00275F5F"/>
    <w:rsid w:val="00276E1E"/>
    <w:rsid w:val="00277EAA"/>
    <w:rsid w:val="0028087D"/>
    <w:rsid w:val="00280C4D"/>
    <w:rsid w:val="002822D3"/>
    <w:rsid w:val="002825D9"/>
    <w:rsid w:val="0028289B"/>
    <w:rsid w:val="00282971"/>
    <w:rsid w:val="00285170"/>
    <w:rsid w:val="0028627A"/>
    <w:rsid w:val="00286634"/>
    <w:rsid w:val="00287928"/>
    <w:rsid w:val="002904EE"/>
    <w:rsid w:val="00291A83"/>
    <w:rsid w:val="00291BC0"/>
    <w:rsid w:val="002921F2"/>
    <w:rsid w:val="00292976"/>
    <w:rsid w:val="00292DDC"/>
    <w:rsid w:val="002940AA"/>
    <w:rsid w:val="002940B7"/>
    <w:rsid w:val="00294DC2"/>
    <w:rsid w:val="00294E5A"/>
    <w:rsid w:val="00295A3D"/>
    <w:rsid w:val="00295F01"/>
    <w:rsid w:val="002970D4"/>
    <w:rsid w:val="00297545"/>
    <w:rsid w:val="002A07C4"/>
    <w:rsid w:val="002A0D85"/>
    <w:rsid w:val="002A18E8"/>
    <w:rsid w:val="002A1EED"/>
    <w:rsid w:val="002A2732"/>
    <w:rsid w:val="002A2D78"/>
    <w:rsid w:val="002A2EA8"/>
    <w:rsid w:val="002A449E"/>
    <w:rsid w:val="002A4BA6"/>
    <w:rsid w:val="002A5097"/>
    <w:rsid w:val="002A5F61"/>
    <w:rsid w:val="002A6126"/>
    <w:rsid w:val="002A6BD1"/>
    <w:rsid w:val="002A7521"/>
    <w:rsid w:val="002B21B3"/>
    <w:rsid w:val="002B32F4"/>
    <w:rsid w:val="002B4A54"/>
    <w:rsid w:val="002B7697"/>
    <w:rsid w:val="002C1AD7"/>
    <w:rsid w:val="002C24B2"/>
    <w:rsid w:val="002C4572"/>
    <w:rsid w:val="002C6EE8"/>
    <w:rsid w:val="002C79A8"/>
    <w:rsid w:val="002C7B51"/>
    <w:rsid w:val="002D1385"/>
    <w:rsid w:val="002D18E7"/>
    <w:rsid w:val="002D1983"/>
    <w:rsid w:val="002D2112"/>
    <w:rsid w:val="002D2882"/>
    <w:rsid w:val="002D2A78"/>
    <w:rsid w:val="002D3C11"/>
    <w:rsid w:val="002D5AFB"/>
    <w:rsid w:val="002D5ECA"/>
    <w:rsid w:val="002D6C8C"/>
    <w:rsid w:val="002D6DF0"/>
    <w:rsid w:val="002D72B5"/>
    <w:rsid w:val="002D7B59"/>
    <w:rsid w:val="002D7EAD"/>
    <w:rsid w:val="002E0444"/>
    <w:rsid w:val="002E11AD"/>
    <w:rsid w:val="002E2493"/>
    <w:rsid w:val="002E2D2D"/>
    <w:rsid w:val="002E33E4"/>
    <w:rsid w:val="002E47FC"/>
    <w:rsid w:val="002E5080"/>
    <w:rsid w:val="002E5123"/>
    <w:rsid w:val="002E52BB"/>
    <w:rsid w:val="002E5718"/>
    <w:rsid w:val="002E5742"/>
    <w:rsid w:val="002E6B7E"/>
    <w:rsid w:val="002E7582"/>
    <w:rsid w:val="002F00AA"/>
    <w:rsid w:val="002F0454"/>
    <w:rsid w:val="002F065D"/>
    <w:rsid w:val="002F0C7D"/>
    <w:rsid w:val="002F10BE"/>
    <w:rsid w:val="002F18DC"/>
    <w:rsid w:val="002F21BB"/>
    <w:rsid w:val="002F21DF"/>
    <w:rsid w:val="002F3A78"/>
    <w:rsid w:val="002F3B79"/>
    <w:rsid w:val="002F43FC"/>
    <w:rsid w:val="002F4C00"/>
    <w:rsid w:val="002F65BF"/>
    <w:rsid w:val="002F6D38"/>
    <w:rsid w:val="002F78F5"/>
    <w:rsid w:val="00300653"/>
    <w:rsid w:val="003032B0"/>
    <w:rsid w:val="00304C63"/>
    <w:rsid w:val="00305A32"/>
    <w:rsid w:val="00306EB3"/>
    <w:rsid w:val="0030749A"/>
    <w:rsid w:val="0030756B"/>
    <w:rsid w:val="003105F9"/>
    <w:rsid w:val="0031188E"/>
    <w:rsid w:val="00311F7E"/>
    <w:rsid w:val="003122DE"/>
    <w:rsid w:val="00312929"/>
    <w:rsid w:val="003138E9"/>
    <w:rsid w:val="003152CD"/>
    <w:rsid w:val="003158F5"/>
    <w:rsid w:val="00315A68"/>
    <w:rsid w:val="0031685A"/>
    <w:rsid w:val="00316FF8"/>
    <w:rsid w:val="003172DF"/>
    <w:rsid w:val="00317B3E"/>
    <w:rsid w:val="003215E2"/>
    <w:rsid w:val="0032369B"/>
    <w:rsid w:val="00323DB3"/>
    <w:rsid w:val="00323E06"/>
    <w:rsid w:val="003243EA"/>
    <w:rsid w:val="003247E0"/>
    <w:rsid w:val="003264B0"/>
    <w:rsid w:val="00327102"/>
    <w:rsid w:val="00327940"/>
    <w:rsid w:val="00330AEC"/>
    <w:rsid w:val="00332547"/>
    <w:rsid w:val="0033409A"/>
    <w:rsid w:val="003342E0"/>
    <w:rsid w:val="00334605"/>
    <w:rsid w:val="00334722"/>
    <w:rsid w:val="00334AF5"/>
    <w:rsid w:val="00334BE0"/>
    <w:rsid w:val="003363F4"/>
    <w:rsid w:val="003373DE"/>
    <w:rsid w:val="003379EA"/>
    <w:rsid w:val="00340275"/>
    <w:rsid w:val="003402B8"/>
    <w:rsid w:val="003406B4"/>
    <w:rsid w:val="00340A11"/>
    <w:rsid w:val="00340BE6"/>
    <w:rsid w:val="00340EC1"/>
    <w:rsid w:val="00340F38"/>
    <w:rsid w:val="00341069"/>
    <w:rsid w:val="00341F1D"/>
    <w:rsid w:val="00342438"/>
    <w:rsid w:val="003430E3"/>
    <w:rsid w:val="00343312"/>
    <w:rsid w:val="00343686"/>
    <w:rsid w:val="0034404A"/>
    <w:rsid w:val="00344406"/>
    <w:rsid w:val="0034451B"/>
    <w:rsid w:val="003446BA"/>
    <w:rsid w:val="003447CD"/>
    <w:rsid w:val="003448E7"/>
    <w:rsid w:val="00345F0A"/>
    <w:rsid w:val="0034637D"/>
    <w:rsid w:val="003463DA"/>
    <w:rsid w:val="00350415"/>
    <w:rsid w:val="0035093A"/>
    <w:rsid w:val="003510C4"/>
    <w:rsid w:val="003510CE"/>
    <w:rsid w:val="00351D51"/>
    <w:rsid w:val="00353F2A"/>
    <w:rsid w:val="003558F7"/>
    <w:rsid w:val="00356C84"/>
    <w:rsid w:val="00356C85"/>
    <w:rsid w:val="00356FFD"/>
    <w:rsid w:val="003600B1"/>
    <w:rsid w:val="00360674"/>
    <w:rsid w:val="003617DE"/>
    <w:rsid w:val="00362419"/>
    <w:rsid w:val="003629F7"/>
    <w:rsid w:val="00363685"/>
    <w:rsid w:val="00363B41"/>
    <w:rsid w:val="00364030"/>
    <w:rsid w:val="0036488D"/>
    <w:rsid w:val="00365AA3"/>
    <w:rsid w:val="00365D0A"/>
    <w:rsid w:val="00365EFF"/>
    <w:rsid w:val="003660EB"/>
    <w:rsid w:val="003669F9"/>
    <w:rsid w:val="00366EDD"/>
    <w:rsid w:val="00366EEA"/>
    <w:rsid w:val="0036799C"/>
    <w:rsid w:val="00367A0C"/>
    <w:rsid w:val="003705AB"/>
    <w:rsid w:val="00370759"/>
    <w:rsid w:val="00370FD4"/>
    <w:rsid w:val="00372719"/>
    <w:rsid w:val="00372D41"/>
    <w:rsid w:val="00373868"/>
    <w:rsid w:val="00375770"/>
    <w:rsid w:val="00376040"/>
    <w:rsid w:val="00376C25"/>
    <w:rsid w:val="00377640"/>
    <w:rsid w:val="00380DED"/>
    <w:rsid w:val="00381013"/>
    <w:rsid w:val="00381448"/>
    <w:rsid w:val="00381463"/>
    <w:rsid w:val="00381A59"/>
    <w:rsid w:val="00382A55"/>
    <w:rsid w:val="00383153"/>
    <w:rsid w:val="00384667"/>
    <w:rsid w:val="00384ABB"/>
    <w:rsid w:val="00384B0B"/>
    <w:rsid w:val="00385126"/>
    <w:rsid w:val="00385F96"/>
    <w:rsid w:val="003865FA"/>
    <w:rsid w:val="0038722F"/>
    <w:rsid w:val="00391190"/>
    <w:rsid w:val="00391245"/>
    <w:rsid w:val="003916E5"/>
    <w:rsid w:val="00391CED"/>
    <w:rsid w:val="00391F2A"/>
    <w:rsid w:val="00392BF4"/>
    <w:rsid w:val="00392EA3"/>
    <w:rsid w:val="00395195"/>
    <w:rsid w:val="00395ACC"/>
    <w:rsid w:val="00395E53"/>
    <w:rsid w:val="00397D8D"/>
    <w:rsid w:val="00397EAE"/>
    <w:rsid w:val="003A06E6"/>
    <w:rsid w:val="003A1257"/>
    <w:rsid w:val="003A1C4A"/>
    <w:rsid w:val="003A2D6A"/>
    <w:rsid w:val="003A4863"/>
    <w:rsid w:val="003A5196"/>
    <w:rsid w:val="003A63B5"/>
    <w:rsid w:val="003A71C5"/>
    <w:rsid w:val="003A7432"/>
    <w:rsid w:val="003A761C"/>
    <w:rsid w:val="003B2B8D"/>
    <w:rsid w:val="003B331D"/>
    <w:rsid w:val="003B3908"/>
    <w:rsid w:val="003B4168"/>
    <w:rsid w:val="003B5DA1"/>
    <w:rsid w:val="003B5E1A"/>
    <w:rsid w:val="003B636D"/>
    <w:rsid w:val="003B67E0"/>
    <w:rsid w:val="003B6B0E"/>
    <w:rsid w:val="003B6D15"/>
    <w:rsid w:val="003B6E67"/>
    <w:rsid w:val="003B78D6"/>
    <w:rsid w:val="003B795B"/>
    <w:rsid w:val="003C00C6"/>
    <w:rsid w:val="003C0B2F"/>
    <w:rsid w:val="003C1F9F"/>
    <w:rsid w:val="003C283B"/>
    <w:rsid w:val="003C4213"/>
    <w:rsid w:val="003C45F2"/>
    <w:rsid w:val="003C6140"/>
    <w:rsid w:val="003C6562"/>
    <w:rsid w:val="003C6BB6"/>
    <w:rsid w:val="003C6E2F"/>
    <w:rsid w:val="003C74F3"/>
    <w:rsid w:val="003C792E"/>
    <w:rsid w:val="003D10B4"/>
    <w:rsid w:val="003D2153"/>
    <w:rsid w:val="003D45FB"/>
    <w:rsid w:val="003D4B09"/>
    <w:rsid w:val="003D5353"/>
    <w:rsid w:val="003D5A13"/>
    <w:rsid w:val="003D678C"/>
    <w:rsid w:val="003D6A81"/>
    <w:rsid w:val="003D6DBE"/>
    <w:rsid w:val="003D72B6"/>
    <w:rsid w:val="003E19C3"/>
    <w:rsid w:val="003E1FE4"/>
    <w:rsid w:val="003E2FF3"/>
    <w:rsid w:val="003E382C"/>
    <w:rsid w:val="003E458F"/>
    <w:rsid w:val="003E637D"/>
    <w:rsid w:val="003F0FC3"/>
    <w:rsid w:val="003F1181"/>
    <w:rsid w:val="003F20FF"/>
    <w:rsid w:val="003F28F3"/>
    <w:rsid w:val="003F2E37"/>
    <w:rsid w:val="003F30C3"/>
    <w:rsid w:val="003F3786"/>
    <w:rsid w:val="003F43F8"/>
    <w:rsid w:val="003F4CBC"/>
    <w:rsid w:val="003F560E"/>
    <w:rsid w:val="003F5A7E"/>
    <w:rsid w:val="003F65F1"/>
    <w:rsid w:val="003F65F8"/>
    <w:rsid w:val="003F6617"/>
    <w:rsid w:val="003F711F"/>
    <w:rsid w:val="003F741A"/>
    <w:rsid w:val="003F7B71"/>
    <w:rsid w:val="004002AF"/>
    <w:rsid w:val="004009A3"/>
    <w:rsid w:val="0040125C"/>
    <w:rsid w:val="00402A07"/>
    <w:rsid w:val="0040426C"/>
    <w:rsid w:val="0040436C"/>
    <w:rsid w:val="00404CA4"/>
    <w:rsid w:val="00406A4D"/>
    <w:rsid w:val="00406C98"/>
    <w:rsid w:val="00407053"/>
    <w:rsid w:val="00407C3F"/>
    <w:rsid w:val="00407DEA"/>
    <w:rsid w:val="00410321"/>
    <w:rsid w:val="00410404"/>
    <w:rsid w:val="004107FB"/>
    <w:rsid w:val="00410AFA"/>
    <w:rsid w:val="00412A25"/>
    <w:rsid w:val="00412E4F"/>
    <w:rsid w:val="00414778"/>
    <w:rsid w:val="004159AF"/>
    <w:rsid w:val="004160A0"/>
    <w:rsid w:val="00416B4D"/>
    <w:rsid w:val="00417D17"/>
    <w:rsid w:val="00420036"/>
    <w:rsid w:val="0042007A"/>
    <w:rsid w:val="004201A8"/>
    <w:rsid w:val="00420D28"/>
    <w:rsid w:val="004218FA"/>
    <w:rsid w:val="00421BBB"/>
    <w:rsid w:val="00422086"/>
    <w:rsid w:val="0042246F"/>
    <w:rsid w:val="00424072"/>
    <w:rsid w:val="0042497B"/>
    <w:rsid w:val="00424B45"/>
    <w:rsid w:val="00424CB9"/>
    <w:rsid w:val="0042529E"/>
    <w:rsid w:val="004252F4"/>
    <w:rsid w:val="0042561D"/>
    <w:rsid w:val="004264AE"/>
    <w:rsid w:val="0042762B"/>
    <w:rsid w:val="00427FDB"/>
    <w:rsid w:val="004309DA"/>
    <w:rsid w:val="00430AE8"/>
    <w:rsid w:val="004310F8"/>
    <w:rsid w:val="00433AE7"/>
    <w:rsid w:val="00434505"/>
    <w:rsid w:val="00436186"/>
    <w:rsid w:val="004367E2"/>
    <w:rsid w:val="0043767A"/>
    <w:rsid w:val="00437806"/>
    <w:rsid w:val="004404F7"/>
    <w:rsid w:val="004407DC"/>
    <w:rsid w:val="00440A6A"/>
    <w:rsid w:val="00440F7C"/>
    <w:rsid w:val="0044115C"/>
    <w:rsid w:val="0044170B"/>
    <w:rsid w:val="00441C1C"/>
    <w:rsid w:val="0044266E"/>
    <w:rsid w:val="004431DD"/>
    <w:rsid w:val="00443BBC"/>
    <w:rsid w:val="004447EB"/>
    <w:rsid w:val="00445DAA"/>
    <w:rsid w:val="004460A6"/>
    <w:rsid w:val="004466D1"/>
    <w:rsid w:val="00446D93"/>
    <w:rsid w:val="00447133"/>
    <w:rsid w:val="00447C72"/>
    <w:rsid w:val="00450209"/>
    <w:rsid w:val="00450258"/>
    <w:rsid w:val="004517DC"/>
    <w:rsid w:val="004520DD"/>
    <w:rsid w:val="004528BC"/>
    <w:rsid w:val="0045298D"/>
    <w:rsid w:val="00452B04"/>
    <w:rsid w:val="00452C22"/>
    <w:rsid w:val="0045351B"/>
    <w:rsid w:val="00453B63"/>
    <w:rsid w:val="00457473"/>
    <w:rsid w:val="00460328"/>
    <w:rsid w:val="00461DA5"/>
    <w:rsid w:val="00462036"/>
    <w:rsid w:val="00462387"/>
    <w:rsid w:val="004633F7"/>
    <w:rsid w:val="00463467"/>
    <w:rsid w:val="0046402A"/>
    <w:rsid w:val="004646A1"/>
    <w:rsid w:val="0046539E"/>
    <w:rsid w:val="0046599A"/>
    <w:rsid w:val="00466259"/>
    <w:rsid w:val="004712B9"/>
    <w:rsid w:val="00473605"/>
    <w:rsid w:val="004746EF"/>
    <w:rsid w:val="0047471D"/>
    <w:rsid w:val="00474882"/>
    <w:rsid w:val="00475309"/>
    <w:rsid w:val="0047597C"/>
    <w:rsid w:val="00475AE6"/>
    <w:rsid w:val="00475D73"/>
    <w:rsid w:val="00476028"/>
    <w:rsid w:val="00476107"/>
    <w:rsid w:val="00476E7D"/>
    <w:rsid w:val="004819F7"/>
    <w:rsid w:val="00481BE6"/>
    <w:rsid w:val="00482990"/>
    <w:rsid w:val="00484475"/>
    <w:rsid w:val="00484846"/>
    <w:rsid w:val="00484FD0"/>
    <w:rsid w:val="00486004"/>
    <w:rsid w:val="0048614C"/>
    <w:rsid w:val="00486C02"/>
    <w:rsid w:val="004875BE"/>
    <w:rsid w:val="0048761E"/>
    <w:rsid w:val="00487D6E"/>
    <w:rsid w:val="00490A81"/>
    <w:rsid w:val="00490C49"/>
    <w:rsid w:val="00490E77"/>
    <w:rsid w:val="00490F9A"/>
    <w:rsid w:val="00491348"/>
    <w:rsid w:val="00491389"/>
    <w:rsid w:val="004913C7"/>
    <w:rsid w:val="004915A3"/>
    <w:rsid w:val="00491EFC"/>
    <w:rsid w:val="004926B4"/>
    <w:rsid w:val="00492BCA"/>
    <w:rsid w:val="00492F4E"/>
    <w:rsid w:val="00493137"/>
    <w:rsid w:val="00493668"/>
    <w:rsid w:val="0049424F"/>
    <w:rsid w:val="00495A5D"/>
    <w:rsid w:val="004967DD"/>
    <w:rsid w:val="00497063"/>
    <w:rsid w:val="00497B7F"/>
    <w:rsid w:val="004A01F0"/>
    <w:rsid w:val="004A0477"/>
    <w:rsid w:val="004A1760"/>
    <w:rsid w:val="004A3256"/>
    <w:rsid w:val="004A39C4"/>
    <w:rsid w:val="004A42D3"/>
    <w:rsid w:val="004A68C3"/>
    <w:rsid w:val="004A7607"/>
    <w:rsid w:val="004A78D8"/>
    <w:rsid w:val="004B1382"/>
    <w:rsid w:val="004B34C7"/>
    <w:rsid w:val="004B48BE"/>
    <w:rsid w:val="004B49F3"/>
    <w:rsid w:val="004B6ACB"/>
    <w:rsid w:val="004B6AEC"/>
    <w:rsid w:val="004B743E"/>
    <w:rsid w:val="004B758C"/>
    <w:rsid w:val="004B77D3"/>
    <w:rsid w:val="004B77FA"/>
    <w:rsid w:val="004B781A"/>
    <w:rsid w:val="004C16F4"/>
    <w:rsid w:val="004C2558"/>
    <w:rsid w:val="004C2C01"/>
    <w:rsid w:val="004C4F17"/>
    <w:rsid w:val="004C56C4"/>
    <w:rsid w:val="004C726D"/>
    <w:rsid w:val="004D00FE"/>
    <w:rsid w:val="004D03E5"/>
    <w:rsid w:val="004D073D"/>
    <w:rsid w:val="004D0D63"/>
    <w:rsid w:val="004D101B"/>
    <w:rsid w:val="004D2B01"/>
    <w:rsid w:val="004D34A2"/>
    <w:rsid w:val="004D3DD3"/>
    <w:rsid w:val="004D50ED"/>
    <w:rsid w:val="004D57EA"/>
    <w:rsid w:val="004D58AA"/>
    <w:rsid w:val="004D7FE0"/>
    <w:rsid w:val="004E086A"/>
    <w:rsid w:val="004E2410"/>
    <w:rsid w:val="004E2DFB"/>
    <w:rsid w:val="004E30CB"/>
    <w:rsid w:val="004E3652"/>
    <w:rsid w:val="004E5585"/>
    <w:rsid w:val="004E6685"/>
    <w:rsid w:val="004E69FF"/>
    <w:rsid w:val="004E754F"/>
    <w:rsid w:val="004F1FA0"/>
    <w:rsid w:val="004F203D"/>
    <w:rsid w:val="004F25BD"/>
    <w:rsid w:val="004F4698"/>
    <w:rsid w:val="004F477D"/>
    <w:rsid w:val="004F4D96"/>
    <w:rsid w:val="004F52F6"/>
    <w:rsid w:val="004F728C"/>
    <w:rsid w:val="004F7CE8"/>
    <w:rsid w:val="005003CF"/>
    <w:rsid w:val="0050195C"/>
    <w:rsid w:val="00502E67"/>
    <w:rsid w:val="005046D5"/>
    <w:rsid w:val="00506EB6"/>
    <w:rsid w:val="005073B1"/>
    <w:rsid w:val="00507946"/>
    <w:rsid w:val="00507D93"/>
    <w:rsid w:val="00510790"/>
    <w:rsid w:val="005109B3"/>
    <w:rsid w:val="005109E2"/>
    <w:rsid w:val="0051489C"/>
    <w:rsid w:val="005160A0"/>
    <w:rsid w:val="005169BA"/>
    <w:rsid w:val="0051707A"/>
    <w:rsid w:val="00517186"/>
    <w:rsid w:val="0051720F"/>
    <w:rsid w:val="005205E2"/>
    <w:rsid w:val="005210F4"/>
    <w:rsid w:val="00521944"/>
    <w:rsid w:val="00521C54"/>
    <w:rsid w:val="00523E0A"/>
    <w:rsid w:val="005252BC"/>
    <w:rsid w:val="005263CF"/>
    <w:rsid w:val="005272CA"/>
    <w:rsid w:val="00530415"/>
    <w:rsid w:val="00530B85"/>
    <w:rsid w:val="00530D2D"/>
    <w:rsid w:val="005311B1"/>
    <w:rsid w:val="0053147C"/>
    <w:rsid w:val="00532CEB"/>
    <w:rsid w:val="005338E6"/>
    <w:rsid w:val="005338F2"/>
    <w:rsid w:val="005373F7"/>
    <w:rsid w:val="00540184"/>
    <w:rsid w:val="00540261"/>
    <w:rsid w:val="0054072C"/>
    <w:rsid w:val="005409AE"/>
    <w:rsid w:val="00542566"/>
    <w:rsid w:val="005425DD"/>
    <w:rsid w:val="005428D7"/>
    <w:rsid w:val="00542A17"/>
    <w:rsid w:val="00545631"/>
    <w:rsid w:val="00545AC4"/>
    <w:rsid w:val="00545CD6"/>
    <w:rsid w:val="005460B0"/>
    <w:rsid w:val="00546C85"/>
    <w:rsid w:val="00546CEB"/>
    <w:rsid w:val="00546EAC"/>
    <w:rsid w:val="0054762D"/>
    <w:rsid w:val="00547D28"/>
    <w:rsid w:val="0055209F"/>
    <w:rsid w:val="00552588"/>
    <w:rsid w:val="00552789"/>
    <w:rsid w:val="00552F83"/>
    <w:rsid w:val="005553A1"/>
    <w:rsid w:val="0055625D"/>
    <w:rsid w:val="00556A72"/>
    <w:rsid w:val="005602C9"/>
    <w:rsid w:val="005630DD"/>
    <w:rsid w:val="00563604"/>
    <w:rsid w:val="0056389B"/>
    <w:rsid w:val="00563C3D"/>
    <w:rsid w:val="0056473A"/>
    <w:rsid w:val="00564F55"/>
    <w:rsid w:val="0056789E"/>
    <w:rsid w:val="00567F52"/>
    <w:rsid w:val="005702FA"/>
    <w:rsid w:val="005738AE"/>
    <w:rsid w:val="0057465E"/>
    <w:rsid w:val="00574B65"/>
    <w:rsid w:val="00576121"/>
    <w:rsid w:val="0058002A"/>
    <w:rsid w:val="00580FF4"/>
    <w:rsid w:val="0058126E"/>
    <w:rsid w:val="00581762"/>
    <w:rsid w:val="00581A20"/>
    <w:rsid w:val="00581DEA"/>
    <w:rsid w:val="00581E45"/>
    <w:rsid w:val="005836C4"/>
    <w:rsid w:val="0058437F"/>
    <w:rsid w:val="00584A0E"/>
    <w:rsid w:val="00585AAC"/>
    <w:rsid w:val="0058657D"/>
    <w:rsid w:val="005866C4"/>
    <w:rsid w:val="0058702E"/>
    <w:rsid w:val="00587489"/>
    <w:rsid w:val="00587865"/>
    <w:rsid w:val="00590A37"/>
    <w:rsid w:val="00590FF8"/>
    <w:rsid w:val="0059207A"/>
    <w:rsid w:val="00594322"/>
    <w:rsid w:val="005A0D49"/>
    <w:rsid w:val="005A0E05"/>
    <w:rsid w:val="005A18C5"/>
    <w:rsid w:val="005A2164"/>
    <w:rsid w:val="005A2AF9"/>
    <w:rsid w:val="005A3044"/>
    <w:rsid w:val="005A3232"/>
    <w:rsid w:val="005A32EA"/>
    <w:rsid w:val="005A38AE"/>
    <w:rsid w:val="005A5415"/>
    <w:rsid w:val="005A554F"/>
    <w:rsid w:val="005A5A55"/>
    <w:rsid w:val="005A6AC4"/>
    <w:rsid w:val="005A738C"/>
    <w:rsid w:val="005B28F8"/>
    <w:rsid w:val="005B2AD4"/>
    <w:rsid w:val="005B3944"/>
    <w:rsid w:val="005B3E83"/>
    <w:rsid w:val="005B4C3B"/>
    <w:rsid w:val="005B5DEC"/>
    <w:rsid w:val="005B69CC"/>
    <w:rsid w:val="005B6E0B"/>
    <w:rsid w:val="005C0052"/>
    <w:rsid w:val="005C00C2"/>
    <w:rsid w:val="005C0A77"/>
    <w:rsid w:val="005C3547"/>
    <w:rsid w:val="005C3828"/>
    <w:rsid w:val="005C4AE1"/>
    <w:rsid w:val="005C557A"/>
    <w:rsid w:val="005C573F"/>
    <w:rsid w:val="005C5B84"/>
    <w:rsid w:val="005C673B"/>
    <w:rsid w:val="005C724C"/>
    <w:rsid w:val="005C757C"/>
    <w:rsid w:val="005C76E1"/>
    <w:rsid w:val="005D02DA"/>
    <w:rsid w:val="005D2829"/>
    <w:rsid w:val="005D291B"/>
    <w:rsid w:val="005D3B58"/>
    <w:rsid w:val="005D3F96"/>
    <w:rsid w:val="005D5059"/>
    <w:rsid w:val="005D63E7"/>
    <w:rsid w:val="005D6783"/>
    <w:rsid w:val="005D6A70"/>
    <w:rsid w:val="005D750F"/>
    <w:rsid w:val="005D7963"/>
    <w:rsid w:val="005E0157"/>
    <w:rsid w:val="005E0395"/>
    <w:rsid w:val="005E0FE0"/>
    <w:rsid w:val="005E1230"/>
    <w:rsid w:val="005E1996"/>
    <w:rsid w:val="005E33A2"/>
    <w:rsid w:val="005E3AB5"/>
    <w:rsid w:val="005E3CAD"/>
    <w:rsid w:val="005E4117"/>
    <w:rsid w:val="005E4E9A"/>
    <w:rsid w:val="005E5122"/>
    <w:rsid w:val="005E7157"/>
    <w:rsid w:val="005E7AD8"/>
    <w:rsid w:val="005E7B1C"/>
    <w:rsid w:val="005F007E"/>
    <w:rsid w:val="005F0389"/>
    <w:rsid w:val="005F0784"/>
    <w:rsid w:val="005F07E1"/>
    <w:rsid w:val="005F0E9F"/>
    <w:rsid w:val="005F1B5E"/>
    <w:rsid w:val="005F21EE"/>
    <w:rsid w:val="005F259D"/>
    <w:rsid w:val="005F3397"/>
    <w:rsid w:val="005F6157"/>
    <w:rsid w:val="005F623C"/>
    <w:rsid w:val="005F63E1"/>
    <w:rsid w:val="005F6D04"/>
    <w:rsid w:val="005F7AE7"/>
    <w:rsid w:val="005F7D99"/>
    <w:rsid w:val="00600116"/>
    <w:rsid w:val="00600356"/>
    <w:rsid w:val="00602ED4"/>
    <w:rsid w:val="006040BF"/>
    <w:rsid w:val="00604D49"/>
    <w:rsid w:val="00604E5A"/>
    <w:rsid w:val="00604F1A"/>
    <w:rsid w:val="0060521F"/>
    <w:rsid w:val="006056FC"/>
    <w:rsid w:val="00606323"/>
    <w:rsid w:val="006066C0"/>
    <w:rsid w:val="00607DD6"/>
    <w:rsid w:val="0061055E"/>
    <w:rsid w:val="006109AA"/>
    <w:rsid w:val="00610C4C"/>
    <w:rsid w:val="00611B6C"/>
    <w:rsid w:val="00613886"/>
    <w:rsid w:val="006147C6"/>
    <w:rsid w:val="00614886"/>
    <w:rsid w:val="00614E97"/>
    <w:rsid w:val="006151B0"/>
    <w:rsid w:val="0061545C"/>
    <w:rsid w:val="00615DBB"/>
    <w:rsid w:val="00616F37"/>
    <w:rsid w:val="00617415"/>
    <w:rsid w:val="00617D8A"/>
    <w:rsid w:val="00617F1D"/>
    <w:rsid w:val="00620410"/>
    <w:rsid w:val="00621363"/>
    <w:rsid w:val="006220F6"/>
    <w:rsid w:val="00622925"/>
    <w:rsid w:val="00622BD9"/>
    <w:rsid w:val="006239EA"/>
    <w:rsid w:val="00624067"/>
    <w:rsid w:val="00624461"/>
    <w:rsid w:val="00625181"/>
    <w:rsid w:val="00626288"/>
    <w:rsid w:val="00626EEB"/>
    <w:rsid w:val="00627A6B"/>
    <w:rsid w:val="00627A6C"/>
    <w:rsid w:val="00627D87"/>
    <w:rsid w:val="00630CA2"/>
    <w:rsid w:val="00631481"/>
    <w:rsid w:val="00633243"/>
    <w:rsid w:val="006346B1"/>
    <w:rsid w:val="0063513F"/>
    <w:rsid w:val="00635AFB"/>
    <w:rsid w:val="006373B0"/>
    <w:rsid w:val="00640037"/>
    <w:rsid w:val="006402DA"/>
    <w:rsid w:val="00642951"/>
    <w:rsid w:val="00643C4B"/>
    <w:rsid w:val="00643DB9"/>
    <w:rsid w:val="00644292"/>
    <w:rsid w:val="00644524"/>
    <w:rsid w:val="00644BC1"/>
    <w:rsid w:val="0064502D"/>
    <w:rsid w:val="0064661D"/>
    <w:rsid w:val="00646E34"/>
    <w:rsid w:val="00646E35"/>
    <w:rsid w:val="00646E5A"/>
    <w:rsid w:val="00650314"/>
    <w:rsid w:val="0065099D"/>
    <w:rsid w:val="00650B43"/>
    <w:rsid w:val="00650DA8"/>
    <w:rsid w:val="006529F1"/>
    <w:rsid w:val="00652AAA"/>
    <w:rsid w:val="00652BAC"/>
    <w:rsid w:val="00652F23"/>
    <w:rsid w:val="00653566"/>
    <w:rsid w:val="0065386F"/>
    <w:rsid w:val="00653938"/>
    <w:rsid w:val="00653A80"/>
    <w:rsid w:val="0065402F"/>
    <w:rsid w:val="00654877"/>
    <w:rsid w:val="00654C27"/>
    <w:rsid w:val="00654C67"/>
    <w:rsid w:val="00654EF1"/>
    <w:rsid w:val="00655C0C"/>
    <w:rsid w:val="00655C24"/>
    <w:rsid w:val="00655E94"/>
    <w:rsid w:val="006566F2"/>
    <w:rsid w:val="00656777"/>
    <w:rsid w:val="00657661"/>
    <w:rsid w:val="0066004B"/>
    <w:rsid w:val="006607C5"/>
    <w:rsid w:val="00661677"/>
    <w:rsid w:val="006618F3"/>
    <w:rsid w:val="006646A8"/>
    <w:rsid w:val="00664905"/>
    <w:rsid w:val="0066507D"/>
    <w:rsid w:val="00665380"/>
    <w:rsid w:val="00665DE0"/>
    <w:rsid w:val="00665F6C"/>
    <w:rsid w:val="00665FA1"/>
    <w:rsid w:val="0066616A"/>
    <w:rsid w:val="006662D9"/>
    <w:rsid w:val="00666728"/>
    <w:rsid w:val="00667115"/>
    <w:rsid w:val="006713A5"/>
    <w:rsid w:val="0067178E"/>
    <w:rsid w:val="00672170"/>
    <w:rsid w:val="0067240A"/>
    <w:rsid w:val="006724EB"/>
    <w:rsid w:val="00673039"/>
    <w:rsid w:val="0067318A"/>
    <w:rsid w:val="00674425"/>
    <w:rsid w:val="00674A47"/>
    <w:rsid w:val="00674D02"/>
    <w:rsid w:val="00675B02"/>
    <w:rsid w:val="00675EAB"/>
    <w:rsid w:val="00677451"/>
    <w:rsid w:val="006776CE"/>
    <w:rsid w:val="00680D88"/>
    <w:rsid w:val="006845FD"/>
    <w:rsid w:val="00686B7F"/>
    <w:rsid w:val="00687894"/>
    <w:rsid w:val="00687F0A"/>
    <w:rsid w:val="00690C34"/>
    <w:rsid w:val="00691BD5"/>
    <w:rsid w:val="00691BE0"/>
    <w:rsid w:val="0069254E"/>
    <w:rsid w:val="006928DA"/>
    <w:rsid w:val="006929BC"/>
    <w:rsid w:val="0069345C"/>
    <w:rsid w:val="00694392"/>
    <w:rsid w:val="006950AD"/>
    <w:rsid w:val="00696719"/>
    <w:rsid w:val="00696A3D"/>
    <w:rsid w:val="00696E91"/>
    <w:rsid w:val="00697C6D"/>
    <w:rsid w:val="006A036B"/>
    <w:rsid w:val="006A257D"/>
    <w:rsid w:val="006A2844"/>
    <w:rsid w:val="006A30D9"/>
    <w:rsid w:val="006A3672"/>
    <w:rsid w:val="006A3D5F"/>
    <w:rsid w:val="006A411C"/>
    <w:rsid w:val="006A4BDE"/>
    <w:rsid w:val="006A4D90"/>
    <w:rsid w:val="006A53D2"/>
    <w:rsid w:val="006A6BA2"/>
    <w:rsid w:val="006A70AA"/>
    <w:rsid w:val="006A78F6"/>
    <w:rsid w:val="006A7A93"/>
    <w:rsid w:val="006B2CA5"/>
    <w:rsid w:val="006B31EB"/>
    <w:rsid w:val="006B49B3"/>
    <w:rsid w:val="006B6346"/>
    <w:rsid w:val="006B7069"/>
    <w:rsid w:val="006B7DDA"/>
    <w:rsid w:val="006C003D"/>
    <w:rsid w:val="006C1E94"/>
    <w:rsid w:val="006C3343"/>
    <w:rsid w:val="006C4346"/>
    <w:rsid w:val="006C45D6"/>
    <w:rsid w:val="006C47E8"/>
    <w:rsid w:val="006C4808"/>
    <w:rsid w:val="006C4C38"/>
    <w:rsid w:val="006C5C86"/>
    <w:rsid w:val="006C6AB5"/>
    <w:rsid w:val="006C79AC"/>
    <w:rsid w:val="006D07E6"/>
    <w:rsid w:val="006D10ED"/>
    <w:rsid w:val="006D1BC2"/>
    <w:rsid w:val="006D1C37"/>
    <w:rsid w:val="006D33AF"/>
    <w:rsid w:val="006D3F5F"/>
    <w:rsid w:val="006D4525"/>
    <w:rsid w:val="006D509F"/>
    <w:rsid w:val="006D5651"/>
    <w:rsid w:val="006D58B5"/>
    <w:rsid w:val="006D5CDC"/>
    <w:rsid w:val="006D6F77"/>
    <w:rsid w:val="006D7005"/>
    <w:rsid w:val="006D70DC"/>
    <w:rsid w:val="006D7BA7"/>
    <w:rsid w:val="006D7ED7"/>
    <w:rsid w:val="006E00CF"/>
    <w:rsid w:val="006E06AE"/>
    <w:rsid w:val="006E1270"/>
    <w:rsid w:val="006E1950"/>
    <w:rsid w:val="006E1967"/>
    <w:rsid w:val="006E1CBE"/>
    <w:rsid w:val="006E2AE6"/>
    <w:rsid w:val="006E3543"/>
    <w:rsid w:val="006E48CF"/>
    <w:rsid w:val="006E4C3B"/>
    <w:rsid w:val="006E510C"/>
    <w:rsid w:val="006F0679"/>
    <w:rsid w:val="006F0DD9"/>
    <w:rsid w:val="006F26B5"/>
    <w:rsid w:val="006F3253"/>
    <w:rsid w:val="006F4395"/>
    <w:rsid w:val="006F47B3"/>
    <w:rsid w:val="006F4B18"/>
    <w:rsid w:val="006F501F"/>
    <w:rsid w:val="006F65A2"/>
    <w:rsid w:val="006F6A41"/>
    <w:rsid w:val="006F76CE"/>
    <w:rsid w:val="006F7FB6"/>
    <w:rsid w:val="007014AB"/>
    <w:rsid w:val="007017C6"/>
    <w:rsid w:val="00701DD6"/>
    <w:rsid w:val="00702733"/>
    <w:rsid w:val="00703028"/>
    <w:rsid w:val="00703CCF"/>
    <w:rsid w:val="0070417A"/>
    <w:rsid w:val="00704805"/>
    <w:rsid w:val="00706B69"/>
    <w:rsid w:val="00711002"/>
    <w:rsid w:val="00711E55"/>
    <w:rsid w:val="007120D0"/>
    <w:rsid w:val="00712EA1"/>
    <w:rsid w:val="00713606"/>
    <w:rsid w:val="007138F8"/>
    <w:rsid w:val="00715C32"/>
    <w:rsid w:val="007165FF"/>
    <w:rsid w:val="00717666"/>
    <w:rsid w:val="00720468"/>
    <w:rsid w:val="007229BC"/>
    <w:rsid w:val="00723850"/>
    <w:rsid w:val="00723E14"/>
    <w:rsid w:val="00723E4D"/>
    <w:rsid w:val="0072421B"/>
    <w:rsid w:val="00724E87"/>
    <w:rsid w:val="00725048"/>
    <w:rsid w:val="007250D0"/>
    <w:rsid w:val="0072590A"/>
    <w:rsid w:val="00725A5F"/>
    <w:rsid w:val="00725AF7"/>
    <w:rsid w:val="00725F0B"/>
    <w:rsid w:val="0072712E"/>
    <w:rsid w:val="007275A6"/>
    <w:rsid w:val="00730004"/>
    <w:rsid w:val="0073131E"/>
    <w:rsid w:val="007325E5"/>
    <w:rsid w:val="00733850"/>
    <w:rsid w:val="00734464"/>
    <w:rsid w:val="00734944"/>
    <w:rsid w:val="00734995"/>
    <w:rsid w:val="00734B77"/>
    <w:rsid w:val="00734E24"/>
    <w:rsid w:val="00735C6E"/>
    <w:rsid w:val="00735FDB"/>
    <w:rsid w:val="00736E61"/>
    <w:rsid w:val="00736ECE"/>
    <w:rsid w:val="00737109"/>
    <w:rsid w:val="00737866"/>
    <w:rsid w:val="00737D71"/>
    <w:rsid w:val="00740B07"/>
    <w:rsid w:val="007416B1"/>
    <w:rsid w:val="00741C58"/>
    <w:rsid w:val="0074248E"/>
    <w:rsid w:val="00743AAE"/>
    <w:rsid w:val="00743C37"/>
    <w:rsid w:val="00744E83"/>
    <w:rsid w:val="0074699E"/>
    <w:rsid w:val="00746B38"/>
    <w:rsid w:val="00746EDB"/>
    <w:rsid w:val="0074727F"/>
    <w:rsid w:val="00751F39"/>
    <w:rsid w:val="007520F6"/>
    <w:rsid w:val="0075228C"/>
    <w:rsid w:val="00752C9B"/>
    <w:rsid w:val="00753299"/>
    <w:rsid w:val="00753807"/>
    <w:rsid w:val="007539EA"/>
    <w:rsid w:val="007552AD"/>
    <w:rsid w:val="00755D7C"/>
    <w:rsid w:val="00756D63"/>
    <w:rsid w:val="00756E11"/>
    <w:rsid w:val="00757A6A"/>
    <w:rsid w:val="00761355"/>
    <w:rsid w:val="0076291D"/>
    <w:rsid w:val="00762FD8"/>
    <w:rsid w:val="00763633"/>
    <w:rsid w:val="00763FA1"/>
    <w:rsid w:val="00764BD5"/>
    <w:rsid w:val="00765F04"/>
    <w:rsid w:val="00766E62"/>
    <w:rsid w:val="007676FE"/>
    <w:rsid w:val="00770564"/>
    <w:rsid w:val="00770569"/>
    <w:rsid w:val="00770618"/>
    <w:rsid w:val="00770F4A"/>
    <w:rsid w:val="00771894"/>
    <w:rsid w:val="00771EEB"/>
    <w:rsid w:val="00772A8C"/>
    <w:rsid w:val="00773F0E"/>
    <w:rsid w:val="00776BAC"/>
    <w:rsid w:val="00777783"/>
    <w:rsid w:val="00777905"/>
    <w:rsid w:val="00777B40"/>
    <w:rsid w:val="00777DC6"/>
    <w:rsid w:val="00777FFD"/>
    <w:rsid w:val="0078277F"/>
    <w:rsid w:val="007843FE"/>
    <w:rsid w:val="00784A6D"/>
    <w:rsid w:val="00784BC9"/>
    <w:rsid w:val="00785BAF"/>
    <w:rsid w:val="00786A95"/>
    <w:rsid w:val="00786FCF"/>
    <w:rsid w:val="0078778B"/>
    <w:rsid w:val="007878AB"/>
    <w:rsid w:val="0079038A"/>
    <w:rsid w:val="00790924"/>
    <w:rsid w:val="00791814"/>
    <w:rsid w:val="00791DC1"/>
    <w:rsid w:val="00792D1B"/>
    <w:rsid w:val="00792D57"/>
    <w:rsid w:val="00793F70"/>
    <w:rsid w:val="00794A60"/>
    <w:rsid w:val="007955CC"/>
    <w:rsid w:val="0079585F"/>
    <w:rsid w:val="007971F5"/>
    <w:rsid w:val="007979DE"/>
    <w:rsid w:val="00797FEC"/>
    <w:rsid w:val="007A390A"/>
    <w:rsid w:val="007A396C"/>
    <w:rsid w:val="007A441D"/>
    <w:rsid w:val="007A4F40"/>
    <w:rsid w:val="007A53D7"/>
    <w:rsid w:val="007A5955"/>
    <w:rsid w:val="007A59B7"/>
    <w:rsid w:val="007A5DC2"/>
    <w:rsid w:val="007A6C88"/>
    <w:rsid w:val="007A72F9"/>
    <w:rsid w:val="007B0741"/>
    <w:rsid w:val="007B0B6B"/>
    <w:rsid w:val="007B1402"/>
    <w:rsid w:val="007B29BA"/>
    <w:rsid w:val="007B2CFE"/>
    <w:rsid w:val="007B3C1F"/>
    <w:rsid w:val="007B405F"/>
    <w:rsid w:val="007B5A1C"/>
    <w:rsid w:val="007B71CE"/>
    <w:rsid w:val="007B77BC"/>
    <w:rsid w:val="007B7A96"/>
    <w:rsid w:val="007C0451"/>
    <w:rsid w:val="007C11D2"/>
    <w:rsid w:val="007C17B4"/>
    <w:rsid w:val="007C2B02"/>
    <w:rsid w:val="007C38B5"/>
    <w:rsid w:val="007C3E99"/>
    <w:rsid w:val="007C4CA9"/>
    <w:rsid w:val="007C4F7E"/>
    <w:rsid w:val="007C50BA"/>
    <w:rsid w:val="007C5CF3"/>
    <w:rsid w:val="007C61A9"/>
    <w:rsid w:val="007C6E8D"/>
    <w:rsid w:val="007C7A28"/>
    <w:rsid w:val="007D0BF5"/>
    <w:rsid w:val="007D116B"/>
    <w:rsid w:val="007D198C"/>
    <w:rsid w:val="007D47AA"/>
    <w:rsid w:val="007D5037"/>
    <w:rsid w:val="007D50CF"/>
    <w:rsid w:val="007D5E2F"/>
    <w:rsid w:val="007D7876"/>
    <w:rsid w:val="007E041E"/>
    <w:rsid w:val="007E1CEE"/>
    <w:rsid w:val="007E1F38"/>
    <w:rsid w:val="007E22E5"/>
    <w:rsid w:val="007E2A8C"/>
    <w:rsid w:val="007E2F58"/>
    <w:rsid w:val="007E329F"/>
    <w:rsid w:val="007E32FD"/>
    <w:rsid w:val="007E5434"/>
    <w:rsid w:val="007E62E3"/>
    <w:rsid w:val="007E63B5"/>
    <w:rsid w:val="007E6EAA"/>
    <w:rsid w:val="007E756D"/>
    <w:rsid w:val="007F03C2"/>
    <w:rsid w:val="007F0F18"/>
    <w:rsid w:val="007F2708"/>
    <w:rsid w:val="007F3386"/>
    <w:rsid w:val="007F3428"/>
    <w:rsid w:val="007F4507"/>
    <w:rsid w:val="007F4FCF"/>
    <w:rsid w:val="007F520A"/>
    <w:rsid w:val="007F6C31"/>
    <w:rsid w:val="007F73DF"/>
    <w:rsid w:val="00802373"/>
    <w:rsid w:val="00802B61"/>
    <w:rsid w:val="00802CAA"/>
    <w:rsid w:val="00802D58"/>
    <w:rsid w:val="00803C16"/>
    <w:rsid w:val="008046FD"/>
    <w:rsid w:val="008048D7"/>
    <w:rsid w:val="00811331"/>
    <w:rsid w:val="00811BD3"/>
    <w:rsid w:val="00813E0B"/>
    <w:rsid w:val="00814C9D"/>
    <w:rsid w:val="00815281"/>
    <w:rsid w:val="008159D7"/>
    <w:rsid w:val="00815CF2"/>
    <w:rsid w:val="008169C3"/>
    <w:rsid w:val="008172B1"/>
    <w:rsid w:val="00817D27"/>
    <w:rsid w:val="00820BC2"/>
    <w:rsid w:val="00820F7B"/>
    <w:rsid w:val="00821622"/>
    <w:rsid w:val="00821BD1"/>
    <w:rsid w:val="00821D3F"/>
    <w:rsid w:val="00821FC9"/>
    <w:rsid w:val="00822E27"/>
    <w:rsid w:val="00823346"/>
    <w:rsid w:val="00823914"/>
    <w:rsid w:val="0082443B"/>
    <w:rsid w:val="00824879"/>
    <w:rsid w:val="00824B9D"/>
    <w:rsid w:val="008263D1"/>
    <w:rsid w:val="008266C1"/>
    <w:rsid w:val="00826A6D"/>
    <w:rsid w:val="00826BBA"/>
    <w:rsid w:val="00826BBD"/>
    <w:rsid w:val="008275E0"/>
    <w:rsid w:val="0083033A"/>
    <w:rsid w:val="0083114D"/>
    <w:rsid w:val="00831943"/>
    <w:rsid w:val="00832E5A"/>
    <w:rsid w:val="00833D48"/>
    <w:rsid w:val="008341E9"/>
    <w:rsid w:val="00834513"/>
    <w:rsid w:val="008349AE"/>
    <w:rsid w:val="0083552C"/>
    <w:rsid w:val="008401DC"/>
    <w:rsid w:val="00840325"/>
    <w:rsid w:val="00841105"/>
    <w:rsid w:val="0084259C"/>
    <w:rsid w:val="00842757"/>
    <w:rsid w:val="0084363D"/>
    <w:rsid w:val="00843980"/>
    <w:rsid w:val="00844266"/>
    <w:rsid w:val="00844532"/>
    <w:rsid w:val="00845969"/>
    <w:rsid w:val="008464BB"/>
    <w:rsid w:val="00846E3E"/>
    <w:rsid w:val="008470FD"/>
    <w:rsid w:val="00847747"/>
    <w:rsid w:val="00847F76"/>
    <w:rsid w:val="0085176B"/>
    <w:rsid w:val="00852768"/>
    <w:rsid w:val="00852929"/>
    <w:rsid w:val="00856A22"/>
    <w:rsid w:val="008571E3"/>
    <w:rsid w:val="00857A66"/>
    <w:rsid w:val="00860701"/>
    <w:rsid w:val="00860C18"/>
    <w:rsid w:val="00861243"/>
    <w:rsid w:val="008616FE"/>
    <w:rsid w:val="00862305"/>
    <w:rsid w:val="00862729"/>
    <w:rsid w:val="00862D0A"/>
    <w:rsid w:val="008639E5"/>
    <w:rsid w:val="008643CB"/>
    <w:rsid w:val="00864880"/>
    <w:rsid w:val="008657C3"/>
    <w:rsid w:val="008659BD"/>
    <w:rsid w:val="00866530"/>
    <w:rsid w:val="008706C0"/>
    <w:rsid w:val="00870E99"/>
    <w:rsid w:val="00872088"/>
    <w:rsid w:val="008736B0"/>
    <w:rsid w:val="0087563E"/>
    <w:rsid w:val="00875A37"/>
    <w:rsid w:val="008768F4"/>
    <w:rsid w:val="00880829"/>
    <w:rsid w:val="0088266F"/>
    <w:rsid w:val="0088271B"/>
    <w:rsid w:val="00882EEE"/>
    <w:rsid w:val="00884824"/>
    <w:rsid w:val="0088532A"/>
    <w:rsid w:val="008855DE"/>
    <w:rsid w:val="008856BD"/>
    <w:rsid w:val="00886099"/>
    <w:rsid w:val="00886215"/>
    <w:rsid w:val="00886A55"/>
    <w:rsid w:val="00890522"/>
    <w:rsid w:val="00891A2A"/>
    <w:rsid w:val="0089259E"/>
    <w:rsid w:val="008930E0"/>
    <w:rsid w:val="008932E1"/>
    <w:rsid w:val="00893B2B"/>
    <w:rsid w:val="00894DF4"/>
    <w:rsid w:val="00895C43"/>
    <w:rsid w:val="00895DDD"/>
    <w:rsid w:val="00895FD4"/>
    <w:rsid w:val="00896E8F"/>
    <w:rsid w:val="0089762E"/>
    <w:rsid w:val="008A1B51"/>
    <w:rsid w:val="008A27A9"/>
    <w:rsid w:val="008A2858"/>
    <w:rsid w:val="008A2EFD"/>
    <w:rsid w:val="008A4109"/>
    <w:rsid w:val="008A5286"/>
    <w:rsid w:val="008A59E6"/>
    <w:rsid w:val="008A59E9"/>
    <w:rsid w:val="008A6115"/>
    <w:rsid w:val="008A69B3"/>
    <w:rsid w:val="008A6B56"/>
    <w:rsid w:val="008A796E"/>
    <w:rsid w:val="008A79F0"/>
    <w:rsid w:val="008B2CDB"/>
    <w:rsid w:val="008B38B9"/>
    <w:rsid w:val="008B50D1"/>
    <w:rsid w:val="008B5503"/>
    <w:rsid w:val="008B5E4E"/>
    <w:rsid w:val="008B6F55"/>
    <w:rsid w:val="008B718B"/>
    <w:rsid w:val="008B7ACF"/>
    <w:rsid w:val="008C0A65"/>
    <w:rsid w:val="008C1277"/>
    <w:rsid w:val="008C5312"/>
    <w:rsid w:val="008C5AB2"/>
    <w:rsid w:val="008C69D8"/>
    <w:rsid w:val="008C6D2A"/>
    <w:rsid w:val="008D0861"/>
    <w:rsid w:val="008D0CC9"/>
    <w:rsid w:val="008D0D4E"/>
    <w:rsid w:val="008D0EF5"/>
    <w:rsid w:val="008D10EE"/>
    <w:rsid w:val="008D1E1E"/>
    <w:rsid w:val="008D356B"/>
    <w:rsid w:val="008D5ADD"/>
    <w:rsid w:val="008D5B26"/>
    <w:rsid w:val="008D5F2F"/>
    <w:rsid w:val="008D67E9"/>
    <w:rsid w:val="008D67F1"/>
    <w:rsid w:val="008D6A83"/>
    <w:rsid w:val="008E02DC"/>
    <w:rsid w:val="008E0438"/>
    <w:rsid w:val="008E070F"/>
    <w:rsid w:val="008E0BE6"/>
    <w:rsid w:val="008E0C1C"/>
    <w:rsid w:val="008E0CA2"/>
    <w:rsid w:val="008E234A"/>
    <w:rsid w:val="008E361D"/>
    <w:rsid w:val="008E49CE"/>
    <w:rsid w:val="008E63D1"/>
    <w:rsid w:val="008E63DD"/>
    <w:rsid w:val="008E6542"/>
    <w:rsid w:val="008E778A"/>
    <w:rsid w:val="008F08A4"/>
    <w:rsid w:val="008F09E6"/>
    <w:rsid w:val="008F231F"/>
    <w:rsid w:val="008F3AC5"/>
    <w:rsid w:val="008F40CF"/>
    <w:rsid w:val="008F6725"/>
    <w:rsid w:val="008F7D23"/>
    <w:rsid w:val="009010E8"/>
    <w:rsid w:val="009012B3"/>
    <w:rsid w:val="00901537"/>
    <w:rsid w:val="00901AA9"/>
    <w:rsid w:val="00902684"/>
    <w:rsid w:val="00902C24"/>
    <w:rsid w:val="00902CFC"/>
    <w:rsid w:val="00902ED6"/>
    <w:rsid w:val="009040AF"/>
    <w:rsid w:val="009054DE"/>
    <w:rsid w:val="00905973"/>
    <w:rsid w:val="00910B37"/>
    <w:rsid w:val="009128E9"/>
    <w:rsid w:val="0091397D"/>
    <w:rsid w:val="00913E0B"/>
    <w:rsid w:val="00913E8C"/>
    <w:rsid w:val="0091519C"/>
    <w:rsid w:val="00915B65"/>
    <w:rsid w:val="00915B9F"/>
    <w:rsid w:val="00915D0B"/>
    <w:rsid w:val="0091735E"/>
    <w:rsid w:val="00917549"/>
    <w:rsid w:val="0091772D"/>
    <w:rsid w:val="0091786E"/>
    <w:rsid w:val="00917ED9"/>
    <w:rsid w:val="009215A8"/>
    <w:rsid w:val="009221B6"/>
    <w:rsid w:val="00922792"/>
    <w:rsid w:val="00923493"/>
    <w:rsid w:val="009236C1"/>
    <w:rsid w:val="00923DA4"/>
    <w:rsid w:val="00924C83"/>
    <w:rsid w:val="00926004"/>
    <w:rsid w:val="00926B12"/>
    <w:rsid w:val="009272E2"/>
    <w:rsid w:val="00930769"/>
    <w:rsid w:val="00930F48"/>
    <w:rsid w:val="0093107D"/>
    <w:rsid w:val="00931597"/>
    <w:rsid w:val="00931A47"/>
    <w:rsid w:val="0093209D"/>
    <w:rsid w:val="009320AF"/>
    <w:rsid w:val="00932E01"/>
    <w:rsid w:val="00933CE3"/>
    <w:rsid w:val="00933FEE"/>
    <w:rsid w:val="009358A8"/>
    <w:rsid w:val="009358AC"/>
    <w:rsid w:val="00936640"/>
    <w:rsid w:val="00936C69"/>
    <w:rsid w:val="00936F28"/>
    <w:rsid w:val="00937E13"/>
    <w:rsid w:val="00940665"/>
    <w:rsid w:val="00940724"/>
    <w:rsid w:val="00942C85"/>
    <w:rsid w:val="0094358E"/>
    <w:rsid w:val="00943C93"/>
    <w:rsid w:val="009444F4"/>
    <w:rsid w:val="0094507D"/>
    <w:rsid w:val="009450A9"/>
    <w:rsid w:val="009450C0"/>
    <w:rsid w:val="009451B3"/>
    <w:rsid w:val="009455BD"/>
    <w:rsid w:val="00946CA4"/>
    <w:rsid w:val="0094758C"/>
    <w:rsid w:val="00947FBB"/>
    <w:rsid w:val="009500BE"/>
    <w:rsid w:val="0095032B"/>
    <w:rsid w:val="00951041"/>
    <w:rsid w:val="00951800"/>
    <w:rsid w:val="00951BF9"/>
    <w:rsid w:val="00951E52"/>
    <w:rsid w:val="00951FE1"/>
    <w:rsid w:val="00952267"/>
    <w:rsid w:val="0095280F"/>
    <w:rsid w:val="00952D8A"/>
    <w:rsid w:val="00953815"/>
    <w:rsid w:val="00953DA4"/>
    <w:rsid w:val="00954E5B"/>
    <w:rsid w:val="00954E62"/>
    <w:rsid w:val="0095671D"/>
    <w:rsid w:val="009604D5"/>
    <w:rsid w:val="00960567"/>
    <w:rsid w:val="00960C44"/>
    <w:rsid w:val="00960D03"/>
    <w:rsid w:val="00962AEB"/>
    <w:rsid w:val="0096326C"/>
    <w:rsid w:val="0096552F"/>
    <w:rsid w:val="0096608C"/>
    <w:rsid w:val="00966BB3"/>
    <w:rsid w:val="0096756E"/>
    <w:rsid w:val="00967A56"/>
    <w:rsid w:val="0097132C"/>
    <w:rsid w:val="0097166D"/>
    <w:rsid w:val="00971727"/>
    <w:rsid w:val="009717EF"/>
    <w:rsid w:val="00971995"/>
    <w:rsid w:val="00971D88"/>
    <w:rsid w:val="00971FF6"/>
    <w:rsid w:val="00972013"/>
    <w:rsid w:val="00973F5B"/>
    <w:rsid w:val="009742BD"/>
    <w:rsid w:val="0097598B"/>
    <w:rsid w:val="00975B07"/>
    <w:rsid w:val="00976301"/>
    <w:rsid w:val="00976556"/>
    <w:rsid w:val="00976CBC"/>
    <w:rsid w:val="00977540"/>
    <w:rsid w:val="009800A1"/>
    <w:rsid w:val="00980A36"/>
    <w:rsid w:val="00980BFD"/>
    <w:rsid w:val="00980EE7"/>
    <w:rsid w:val="009821AF"/>
    <w:rsid w:val="0098241D"/>
    <w:rsid w:val="00982A4B"/>
    <w:rsid w:val="00982C1A"/>
    <w:rsid w:val="009831E4"/>
    <w:rsid w:val="00983445"/>
    <w:rsid w:val="009839AF"/>
    <w:rsid w:val="0098499D"/>
    <w:rsid w:val="009867D2"/>
    <w:rsid w:val="0098711F"/>
    <w:rsid w:val="00987771"/>
    <w:rsid w:val="00987AB9"/>
    <w:rsid w:val="009901CB"/>
    <w:rsid w:val="009926B8"/>
    <w:rsid w:val="00993AA1"/>
    <w:rsid w:val="009951A9"/>
    <w:rsid w:val="009952A1"/>
    <w:rsid w:val="009959FB"/>
    <w:rsid w:val="00997A23"/>
    <w:rsid w:val="00997A93"/>
    <w:rsid w:val="009A13F8"/>
    <w:rsid w:val="009A25BA"/>
    <w:rsid w:val="009A3F5A"/>
    <w:rsid w:val="009A48D5"/>
    <w:rsid w:val="009A4AC7"/>
    <w:rsid w:val="009A4C79"/>
    <w:rsid w:val="009A5618"/>
    <w:rsid w:val="009A5B46"/>
    <w:rsid w:val="009A63E7"/>
    <w:rsid w:val="009A66CE"/>
    <w:rsid w:val="009A6702"/>
    <w:rsid w:val="009A6A41"/>
    <w:rsid w:val="009A77F3"/>
    <w:rsid w:val="009B0D80"/>
    <w:rsid w:val="009B11D6"/>
    <w:rsid w:val="009B1674"/>
    <w:rsid w:val="009B2366"/>
    <w:rsid w:val="009B26D3"/>
    <w:rsid w:val="009B3D44"/>
    <w:rsid w:val="009B3E12"/>
    <w:rsid w:val="009B40B4"/>
    <w:rsid w:val="009B72AB"/>
    <w:rsid w:val="009C005D"/>
    <w:rsid w:val="009C1246"/>
    <w:rsid w:val="009C1B45"/>
    <w:rsid w:val="009C1E4A"/>
    <w:rsid w:val="009C22DC"/>
    <w:rsid w:val="009C26D8"/>
    <w:rsid w:val="009C4027"/>
    <w:rsid w:val="009C47C8"/>
    <w:rsid w:val="009C48EE"/>
    <w:rsid w:val="009C4B0C"/>
    <w:rsid w:val="009C4DFF"/>
    <w:rsid w:val="009C510E"/>
    <w:rsid w:val="009C5276"/>
    <w:rsid w:val="009C600D"/>
    <w:rsid w:val="009C7168"/>
    <w:rsid w:val="009C72C1"/>
    <w:rsid w:val="009D0FCA"/>
    <w:rsid w:val="009D1E32"/>
    <w:rsid w:val="009D2F7B"/>
    <w:rsid w:val="009D325E"/>
    <w:rsid w:val="009D343E"/>
    <w:rsid w:val="009D4779"/>
    <w:rsid w:val="009D5FF0"/>
    <w:rsid w:val="009D6235"/>
    <w:rsid w:val="009D701C"/>
    <w:rsid w:val="009D723B"/>
    <w:rsid w:val="009D731A"/>
    <w:rsid w:val="009D7340"/>
    <w:rsid w:val="009D7B36"/>
    <w:rsid w:val="009E0736"/>
    <w:rsid w:val="009E1274"/>
    <w:rsid w:val="009E1ACE"/>
    <w:rsid w:val="009E2E8F"/>
    <w:rsid w:val="009E31B8"/>
    <w:rsid w:val="009E3259"/>
    <w:rsid w:val="009E3260"/>
    <w:rsid w:val="009E44CE"/>
    <w:rsid w:val="009E5302"/>
    <w:rsid w:val="009E594C"/>
    <w:rsid w:val="009E639F"/>
    <w:rsid w:val="009E74CF"/>
    <w:rsid w:val="009F0A8C"/>
    <w:rsid w:val="009F1993"/>
    <w:rsid w:val="009F2211"/>
    <w:rsid w:val="009F3142"/>
    <w:rsid w:val="009F3165"/>
    <w:rsid w:val="009F34DA"/>
    <w:rsid w:val="009F3830"/>
    <w:rsid w:val="009F3E74"/>
    <w:rsid w:val="009F6564"/>
    <w:rsid w:val="009F7A25"/>
    <w:rsid w:val="00A006FA"/>
    <w:rsid w:val="00A00E87"/>
    <w:rsid w:val="00A014CE"/>
    <w:rsid w:val="00A01662"/>
    <w:rsid w:val="00A025E9"/>
    <w:rsid w:val="00A07C5C"/>
    <w:rsid w:val="00A07EC7"/>
    <w:rsid w:val="00A105D0"/>
    <w:rsid w:val="00A11606"/>
    <w:rsid w:val="00A138BE"/>
    <w:rsid w:val="00A13D2B"/>
    <w:rsid w:val="00A14964"/>
    <w:rsid w:val="00A14A58"/>
    <w:rsid w:val="00A14CC6"/>
    <w:rsid w:val="00A14DD8"/>
    <w:rsid w:val="00A14DDB"/>
    <w:rsid w:val="00A17090"/>
    <w:rsid w:val="00A17739"/>
    <w:rsid w:val="00A17D4A"/>
    <w:rsid w:val="00A17FA1"/>
    <w:rsid w:val="00A2056C"/>
    <w:rsid w:val="00A20892"/>
    <w:rsid w:val="00A20A66"/>
    <w:rsid w:val="00A215C7"/>
    <w:rsid w:val="00A21D99"/>
    <w:rsid w:val="00A22021"/>
    <w:rsid w:val="00A233E0"/>
    <w:rsid w:val="00A237A0"/>
    <w:rsid w:val="00A24858"/>
    <w:rsid w:val="00A24B9F"/>
    <w:rsid w:val="00A2532B"/>
    <w:rsid w:val="00A253EE"/>
    <w:rsid w:val="00A27025"/>
    <w:rsid w:val="00A278CF"/>
    <w:rsid w:val="00A30131"/>
    <w:rsid w:val="00A302CB"/>
    <w:rsid w:val="00A3067B"/>
    <w:rsid w:val="00A3067F"/>
    <w:rsid w:val="00A30902"/>
    <w:rsid w:val="00A31AF4"/>
    <w:rsid w:val="00A31C04"/>
    <w:rsid w:val="00A3267A"/>
    <w:rsid w:val="00A33254"/>
    <w:rsid w:val="00A354FE"/>
    <w:rsid w:val="00A37052"/>
    <w:rsid w:val="00A40216"/>
    <w:rsid w:val="00A4090D"/>
    <w:rsid w:val="00A41C31"/>
    <w:rsid w:val="00A426A4"/>
    <w:rsid w:val="00A43099"/>
    <w:rsid w:val="00A43724"/>
    <w:rsid w:val="00A44FF5"/>
    <w:rsid w:val="00A452AC"/>
    <w:rsid w:val="00A4657F"/>
    <w:rsid w:val="00A466D1"/>
    <w:rsid w:val="00A4695A"/>
    <w:rsid w:val="00A50A1E"/>
    <w:rsid w:val="00A50B04"/>
    <w:rsid w:val="00A51523"/>
    <w:rsid w:val="00A51A81"/>
    <w:rsid w:val="00A523DF"/>
    <w:rsid w:val="00A53692"/>
    <w:rsid w:val="00A5590F"/>
    <w:rsid w:val="00A56532"/>
    <w:rsid w:val="00A56FEB"/>
    <w:rsid w:val="00A606B6"/>
    <w:rsid w:val="00A6077F"/>
    <w:rsid w:val="00A63190"/>
    <w:rsid w:val="00A653BA"/>
    <w:rsid w:val="00A65AB7"/>
    <w:rsid w:val="00A661BE"/>
    <w:rsid w:val="00A66B0B"/>
    <w:rsid w:val="00A7071C"/>
    <w:rsid w:val="00A71F79"/>
    <w:rsid w:val="00A720D9"/>
    <w:rsid w:val="00A721E2"/>
    <w:rsid w:val="00A72D04"/>
    <w:rsid w:val="00A72E4C"/>
    <w:rsid w:val="00A73247"/>
    <w:rsid w:val="00A73DB2"/>
    <w:rsid w:val="00A740D1"/>
    <w:rsid w:val="00A74414"/>
    <w:rsid w:val="00A747AE"/>
    <w:rsid w:val="00A76C19"/>
    <w:rsid w:val="00A804E3"/>
    <w:rsid w:val="00A8075D"/>
    <w:rsid w:val="00A81615"/>
    <w:rsid w:val="00A81D85"/>
    <w:rsid w:val="00A81F9A"/>
    <w:rsid w:val="00A82102"/>
    <w:rsid w:val="00A8221D"/>
    <w:rsid w:val="00A825D5"/>
    <w:rsid w:val="00A82FD7"/>
    <w:rsid w:val="00A8311C"/>
    <w:rsid w:val="00A832EC"/>
    <w:rsid w:val="00A83DFE"/>
    <w:rsid w:val="00A84E62"/>
    <w:rsid w:val="00A851CE"/>
    <w:rsid w:val="00A858FF"/>
    <w:rsid w:val="00A859C9"/>
    <w:rsid w:val="00A920A1"/>
    <w:rsid w:val="00A92142"/>
    <w:rsid w:val="00A92BC2"/>
    <w:rsid w:val="00A93096"/>
    <w:rsid w:val="00A93E68"/>
    <w:rsid w:val="00A95467"/>
    <w:rsid w:val="00AA126F"/>
    <w:rsid w:val="00AA18E0"/>
    <w:rsid w:val="00AA2535"/>
    <w:rsid w:val="00AA2A50"/>
    <w:rsid w:val="00AA46A4"/>
    <w:rsid w:val="00AA4998"/>
    <w:rsid w:val="00AA4B4C"/>
    <w:rsid w:val="00AA66B7"/>
    <w:rsid w:val="00AA7A45"/>
    <w:rsid w:val="00AB0A10"/>
    <w:rsid w:val="00AB190B"/>
    <w:rsid w:val="00AB1BDF"/>
    <w:rsid w:val="00AB24A1"/>
    <w:rsid w:val="00AB252C"/>
    <w:rsid w:val="00AB298C"/>
    <w:rsid w:val="00AB2C84"/>
    <w:rsid w:val="00AB2CD4"/>
    <w:rsid w:val="00AB3945"/>
    <w:rsid w:val="00AB3BB2"/>
    <w:rsid w:val="00AB44D7"/>
    <w:rsid w:val="00AB47ED"/>
    <w:rsid w:val="00AB5C19"/>
    <w:rsid w:val="00AB7339"/>
    <w:rsid w:val="00AC0376"/>
    <w:rsid w:val="00AC03FA"/>
    <w:rsid w:val="00AC0B23"/>
    <w:rsid w:val="00AC0E32"/>
    <w:rsid w:val="00AC174E"/>
    <w:rsid w:val="00AC1A00"/>
    <w:rsid w:val="00AC1E0F"/>
    <w:rsid w:val="00AC2D1C"/>
    <w:rsid w:val="00AC37DF"/>
    <w:rsid w:val="00AC3EC1"/>
    <w:rsid w:val="00AC44E1"/>
    <w:rsid w:val="00AC473E"/>
    <w:rsid w:val="00AC5826"/>
    <w:rsid w:val="00AC6A41"/>
    <w:rsid w:val="00AC6EF3"/>
    <w:rsid w:val="00AC6FB1"/>
    <w:rsid w:val="00AC7739"/>
    <w:rsid w:val="00AD1FCE"/>
    <w:rsid w:val="00AD250B"/>
    <w:rsid w:val="00AD2EDD"/>
    <w:rsid w:val="00AD2F09"/>
    <w:rsid w:val="00AD30E7"/>
    <w:rsid w:val="00AD31F0"/>
    <w:rsid w:val="00AD469F"/>
    <w:rsid w:val="00AD53D2"/>
    <w:rsid w:val="00AD5D57"/>
    <w:rsid w:val="00AD624D"/>
    <w:rsid w:val="00AD6544"/>
    <w:rsid w:val="00AD74E6"/>
    <w:rsid w:val="00AE03EF"/>
    <w:rsid w:val="00AE0F30"/>
    <w:rsid w:val="00AE0FB8"/>
    <w:rsid w:val="00AE19E8"/>
    <w:rsid w:val="00AE1E72"/>
    <w:rsid w:val="00AE22EC"/>
    <w:rsid w:val="00AE2895"/>
    <w:rsid w:val="00AE49A8"/>
    <w:rsid w:val="00AE6241"/>
    <w:rsid w:val="00AE6955"/>
    <w:rsid w:val="00AE74A1"/>
    <w:rsid w:val="00AE776E"/>
    <w:rsid w:val="00AE7DB5"/>
    <w:rsid w:val="00AF121C"/>
    <w:rsid w:val="00AF1F30"/>
    <w:rsid w:val="00AF2FF8"/>
    <w:rsid w:val="00AF35D1"/>
    <w:rsid w:val="00AF5D33"/>
    <w:rsid w:val="00AF6543"/>
    <w:rsid w:val="00AF725F"/>
    <w:rsid w:val="00B00264"/>
    <w:rsid w:val="00B0059A"/>
    <w:rsid w:val="00B007C7"/>
    <w:rsid w:val="00B0118F"/>
    <w:rsid w:val="00B029E2"/>
    <w:rsid w:val="00B02B8C"/>
    <w:rsid w:val="00B03631"/>
    <w:rsid w:val="00B038B0"/>
    <w:rsid w:val="00B04810"/>
    <w:rsid w:val="00B05E22"/>
    <w:rsid w:val="00B05F9B"/>
    <w:rsid w:val="00B06226"/>
    <w:rsid w:val="00B066D1"/>
    <w:rsid w:val="00B068CF"/>
    <w:rsid w:val="00B06A2D"/>
    <w:rsid w:val="00B06FD5"/>
    <w:rsid w:val="00B07652"/>
    <w:rsid w:val="00B07BDE"/>
    <w:rsid w:val="00B07D04"/>
    <w:rsid w:val="00B107AD"/>
    <w:rsid w:val="00B11118"/>
    <w:rsid w:val="00B11CEA"/>
    <w:rsid w:val="00B1297B"/>
    <w:rsid w:val="00B12D9D"/>
    <w:rsid w:val="00B15087"/>
    <w:rsid w:val="00B151D6"/>
    <w:rsid w:val="00B1751A"/>
    <w:rsid w:val="00B20A3F"/>
    <w:rsid w:val="00B21218"/>
    <w:rsid w:val="00B21974"/>
    <w:rsid w:val="00B21D25"/>
    <w:rsid w:val="00B22EF8"/>
    <w:rsid w:val="00B23840"/>
    <w:rsid w:val="00B244C6"/>
    <w:rsid w:val="00B24734"/>
    <w:rsid w:val="00B260FA"/>
    <w:rsid w:val="00B26EE6"/>
    <w:rsid w:val="00B27955"/>
    <w:rsid w:val="00B3004F"/>
    <w:rsid w:val="00B3033C"/>
    <w:rsid w:val="00B30926"/>
    <w:rsid w:val="00B30955"/>
    <w:rsid w:val="00B316F7"/>
    <w:rsid w:val="00B328F3"/>
    <w:rsid w:val="00B32E9B"/>
    <w:rsid w:val="00B336C3"/>
    <w:rsid w:val="00B3376E"/>
    <w:rsid w:val="00B33872"/>
    <w:rsid w:val="00B340F5"/>
    <w:rsid w:val="00B34DB2"/>
    <w:rsid w:val="00B36921"/>
    <w:rsid w:val="00B36B20"/>
    <w:rsid w:val="00B36C67"/>
    <w:rsid w:val="00B36D7F"/>
    <w:rsid w:val="00B37092"/>
    <w:rsid w:val="00B37305"/>
    <w:rsid w:val="00B45744"/>
    <w:rsid w:val="00B461C2"/>
    <w:rsid w:val="00B47379"/>
    <w:rsid w:val="00B47382"/>
    <w:rsid w:val="00B473E1"/>
    <w:rsid w:val="00B47507"/>
    <w:rsid w:val="00B47DDC"/>
    <w:rsid w:val="00B500FA"/>
    <w:rsid w:val="00B506F1"/>
    <w:rsid w:val="00B50B89"/>
    <w:rsid w:val="00B52AD9"/>
    <w:rsid w:val="00B5435C"/>
    <w:rsid w:val="00B5537B"/>
    <w:rsid w:val="00B5538A"/>
    <w:rsid w:val="00B56882"/>
    <w:rsid w:val="00B56FCE"/>
    <w:rsid w:val="00B579B6"/>
    <w:rsid w:val="00B57B0E"/>
    <w:rsid w:val="00B605E0"/>
    <w:rsid w:val="00B61767"/>
    <w:rsid w:val="00B626C1"/>
    <w:rsid w:val="00B62C0E"/>
    <w:rsid w:val="00B63566"/>
    <w:rsid w:val="00B63DAF"/>
    <w:rsid w:val="00B64049"/>
    <w:rsid w:val="00B64244"/>
    <w:rsid w:val="00B644DE"/>
    <w:rsid w:val="00B64A3C"/>
    <w:rsid w:val="00B64AFB"/>
    <w:rsid w:val="00B653FF"/>
    <w:rsid w:val="00B66883"/>
    <w:rsid w:val="00B670B3"/>
    <w:rsid w:val="00B67EBB"/>
    <w:rsid w:val="00B7043D"/>
    <w:rsid w:val="00B70A8C"/>
    <w:rsid w:val="00B70BB6"/>
    <w:rsid w:val="00B71D2D"/>
    <w:rsid w:val="00B71F14"/>
    <w:rsid w:val="00B730AD"/>
    <w:rsid w:val="00B73198"/>
    <w:rsid w:val="00B73243"/>
    <w:rsid w:val="00B73B61"/>
    <w:rsid w:val="00B74F90"/>
    <w:rsid w:val="00B77C5B"/>
    <w:rsid w:val="00B77DC6"/>
    <w:rsid w:val="00B77F61"/>
    <w:rsid w:val="00B808C6"/>
    <w:rsid w:val="00B80A06"/>
    <w:rsid w:val="00B80BA0"/>
    <w:rsid w:val="00B816BE"/>
    <w:rsid w:val="00B81BC5"/>
    <w:rsid w:val="00B82883"/>
    <w:rsid w:val="00B829BC"/>
    <w:rsid w:val="00B83105"/>
    <w:rsid w:val="00B83487"/>
    <w:rsid w:val="00B85EB6"/>
    <w:rsid w:val="00B86124"/>
    <w:rsid w:val="00B8620D"/>
    <w:rsid w:val="00B8763E"/>
    <w:rsid w:val="00B8788F"/>
    <w:rsid w:val="00B87EEB"/>
    <w:rsid w:val="00B902E9"/>
    <w:rsid w:val="00B9047A"/>
    <w:rsid w:val="00B90F69"/>
    <w:rsid w:val="00B91ABE"/>
    <w:rsid w:val="00B92212"/>
    <w:rsid w:val="00B9274A"/>
    <w:rsid w:val="00B932B8"/>
    <w:rsid w:val="00B93522"/>
    <w:rsid w:val="00B93723"/>
    <w:rsid w:val="00B939A4"/>
    <w:rsid w:val="00B947E4"/>
    <w:rsid w:val="00B96170"/>
    <w:rsid w:val="00BA0199"/>
    <w:rsid w:val="00BA0981"/>
    <w:rsid w:val="00BA0F54"/>
    <w:rsid w:val="00BA16D5"/>
    <w:rsid w:val="00BA1B72"/>
    <w:rsid w:val="00BA3289"/>
    <w:rsid w:val="00BA40C5"/>
    <w:rsid w:val="00BA4281"/>
    <w:rsid w:val="00BA4D2A"/>
    <w:rsid w:val="00BA603F"/>
    <w:rsid w:val="00BA6A9A"/>
    <w:rsid w:val="00BA7715"/>
    <w:rsid w:val="00BB1806"/>
    <w:rsid w:val="00BB27C0"/>
    <w:rsid w:val="00BB35B4"/>
    <w:rsid w:val="00BB378D"/>
    <w:rsid w:val="00BB53DB"/>
    <w:rsid w:val="00BB6682"/>
    <w:rsid w:val="00BB67C5"/>
    <w:rsid w:val="00BB7730"/>
    <w:rsid w:val="00BC03E1"/>
    <w:rsid w:val="00BC044C"/>
    <w:rsid w:val="00BC06D7"/>
    <w:rsid w:val="00BC1CE2"/>
    <w:rsid w:val="00BC260C"/>
    <w:rsid w:val="00BC2EC8"/>
    <w:rsid w:val="00BC526F"/>
    <w:rsid w:val="00BC52FA"/>
    <w:rsid w:val="00BC5D4D"/>
    <w:rsid w:val="00BC6D81"/>
    <w:rsid w:val="00BC6EE0"/>
    <w:rsid w:val="00BC713D"/>
    <w:rsid w:val="00BC7CE3"/>
    <w:rsid w:val="00BD04E6"/>
    <w:rsid w:val="00BD1173"/>
    <w:rsid w:val="00BD1CFE"/>
    <w:rsid w:val="00BD2213"/>
    <w:rsid w:val="00BD286A"/>
    <w:rsid w:val="00BD295B"/>
    <w:rsid w:val="00BD2A55"/>
    <w:rsid w:val="00BD3292"/>
    <w:rsid w:val="00BD4EB4"/>
    <w:rsid w:val="00BD5134"/>
    <w:rsid w:val="00BD6BE3"/>
    <w:rsid w:val="00BD6C19"/>
    <w:rsid w:val="00BD7F57"/>
    <w:rsid w:val="00BE0123"/>
    <w:rsid w:val="00BE05E6"/>
    <w:rsid w:val="00BE0E59"/>
    <w:rsid w:val="00BE10C9"/>
    <w:rsid w:val="00BE14A9"/>
    <w:rsid w:val="00BE19EA"/>
    <w:rsid w:val="00BE3097"/>
    <w:rsid w:val="00BE361D"/>
    <w:rsid w:val="00BE3884"/>
    <w:rsid w:val="00BE3DBD"/>
    <w:rsid w:val="00BE4234"/>
    <w:rsid w:val="00BE4517"/>
    <w:rsid w:val="00BE58E9"/>
    <w:rsid w:val="00BE608E"/>
    <w:rsid w:val="00BE649A"/>
    <w:rsid w:val="00BF2BD5"/>
    <w:rsid w:val="00BF301D"/>
    <w:rsid w:val="00BF4516"/>
    <w:rsid w:val="00BF586D"/>
    <w:rsid w:val="00BF621A"/>
    <w:rsid w:val="00BF69AF"/>
    <w:rsid w:val="00BF6CD7"/>
    <w:rsid w:val="00BF70EB"/>
    <w:rsid w:val="00C01BDB"/>
    <w:rsid w:val="00C0405B"/>
    <w:rsid w:val="00C0474C"/>
    <w:rsid w:val="00C04F09"/>
    <w:rsid w:val="00C06112"/>
    <w:rsid w:val="00C1106E"/>
    <w:rsid w:val="00C120CF"/>
    <w:rsid w:val="00C132DD"/>
    <w:rsid w:val="00C142EF"/>
    <w:rsid w:val="00C143CA"/>
    <w:rsid w:val="00C14501"/>
    <w:rsid w:val="00C146DA"/>
    <w:rsid w:val="00C14968"/>
    <w:rsid w:val="00C14C10"/>
    <w:rsid w:val="00C1509A"/>
    <w:rsid w:val="00C157B1"/>
    <w:rsid w:val="00C16067"/>
    <w:rsid w:val="00C161F8"/>
    <w:rsid w:val="00C165CA"/>
    <w:rsid w:val="00C171BB"/>
    <w:rsid w:val="00C17920"/>
    <w:rsid w:val="00C17FC1"/>
    <w:rsid w:val="00C2153A"/>
    <w:rsid w:val="00C21AC0"/>
    <w:rsid w:val="00C21EE1"/>
    <w:rsid w:val="00C22AB1"/>
    <w:rsid w:val="00C241E7"/>
    <w:rsid w:val="00C24EE0"/>
    <w:rsid w:val="00C2519E"/>
    <w:rsid w:val="00C25CDE"/>
    <w:rsid w:val="00C26774"/>
    <w:rsid w:val="00C268BA"/>
    <w:rsid w:val="00C26FCB"/>
    <w:rsid w:val="00C309B1"/>
    <w:rsid w:val="00C30AE0"/>
    <w:rsid w:val="00C31969"/>
    <w:rsid w:val="00C323CF"/>
    <w:rsid w:val="00C32543"/>
    <w:rsid w:val="00C330A4"/>
    <w:rsid w:val="00C332FB"/>
    <w:rsid w:val="00C33CDB"/>
    <w:rsid w:val="00C3418C"/>
    <w:rsid w:val="00C34558"/>
    <w:rsid w:val="00C34B65"/>
    <w:rsid w:val="00C3502D"/>
    <w:rsid w:val="00C37784"/>
    <w:rsid w:val="00C4036D"/>
    <w:rsid w:val="00C413FB"/>
    <w:rsid w:val="00C421E4"/>
    <w:rsid w:val="00C4281F"/>
    <w:rsid w:val="00C42C82"/>
    <w:rsid w:val="00C44FCF"/>
    <w:rsid w:val="00C45214"/>
    <w:rsid w:val="00C45AA4"/>
    <w:rsid w:val="00C45B5E"/>
    <w:rsid w:val="00C469C4"/>
    <w:rsid w:val="00C470D9"/>
    <w:rsid w:val="00C472E3"/>
    <w:rsid w:val="00C47A89"/>
    <w:rsid w:val="00C47B59"/>
    <w:rsid w:val="00C47BAA"/>
    <w:rsid w:val="00C47EB1"/>
    <w:rsid w:val="00C5146B"/>
    <w:rsid w:val="00C5164F"/>
    <w:rsid w:val="00C51D28"/>
    <w:rsid w:val="00C51EF4"/>
    <w:rsid w:val="00C51FE1"/>
    <w:rsid w:val="00C5269A"/>
    <w:rsid w:val="00C53C7D"/>
    <w:rsid w:val="00C5612A"/>
    <w:rsid w:val="00C56FA3"/>
    <w:rsid w:val="00C57B0E"/>
    <w:rsid w:val="00C601FF"/>
    <w:rsid w:val="00C608A2"/>
    <w:rsid w:val="00C61D8C"/>
    <w:rsid w:val="00C61F51"/>
    <w:rsid w:val="00C62A1F"/>
    <w:rsid w:val="00C6403F"/>
    <w:rsid w:val="00C64C6E"/>
    <w:rsid w:val="00C65721"/>
    <w:rsid w:val="00C671CB"/>
    <w:rsid w:val="00C677D4"/>
    <w:rsid w:val="00C67C7E"/>
    <w:rsid w:val="00C67F69"/>
    <w:rsid w:val="00C701F9"/>
    <w:rsid w:val="00C70244"/>
    <w:rsid w:val="00C70307"/>
    <w:rsid w:val="00C70C46"/>
    <w:rsid w:val="00C70E39"/>
    <w:rsid w:val="00C718BC"/>
    <w:rsid w:val="00C72A90"/>
    <w:rsid w:val="00C74459"/>
    <w:rsid w:val="00C75078"/>
    <w:rsid w:val="00C75734"/>
    <w:rsid w:val="00C75CE3"/>
    <w:rsid w:val="00C76364"/>
    <w:rsid w:val="00C7684A"/>
    <w:rsid w:val="00C774E6"/>
    <w:rsid w:val="00C77543"/>
    <w:rsid w:val="00C778CD"/>
    <w:rsid w:val="00C806F7"/>
    <w:rsid w:val="00C80896"/>
    <w:rsid w:val="00C80A44"/>
    <w:rsid w:val="00C80D03"/>
    <w:rsid w:val="00C81835"/>
    <w:rsid w:val="00C841C8"/>
    <w:rsid w:val="00C842CB"/>
    <w:rsid w:val="00C84A98"/>
    <w:rsid w:val="00C856CC"/>
    <w:rsid w:val="00C86887"/>
    <w:rsid w:val="00C916A8"/>
    <w:rsid w:val="00C91EBC"/>
    <w:rsid w:val="00C920D4"/>
    <w:rsid w:val="00C9226B"/>
    <w:rsid w:val="00C92777"/>
    <w:rsid w:val="00C936C8"/>
    <w:rsid w:val="00C94A71"/>
    <w:rsid w:val="00C94EBC"/>
    <w:rsid w:val="00C95BFB"/>
    <w:rsid w:val="00C96323"/>
    <w:rsid w:val="00C96610"/>
    <w:rsid w:val="00C971B8"/>
    <w:rsid w:val="00CA14FD"/>
    <w:rsid w:val="00CA1618"/>
    <w:rsid w:val="00CA1933"/>
    <w:rsid w:val="00CA1C9C"/>
    <w:rsid w:val="00CA2526"/>
    <w:rsid w:val="00CA2CE1"/>
    <w:rsid w:val="00CA35CD"/>
    <w:rsid w:val="00CA3618"/>
    <w:rsid w:val="00CA3B4E"/>
    <w:rsid w:val="00CA469E"/>
    <w:rsid w:val="00CA4B91"/>
    <w:rsid w:val="00CA5394"/>
    <w:rsid w:val="00CA5DC4"/>
    <w:rsid w:val="00CA5E57"/>
    <w:rsid w:val="00CA6819"/>
    <w:rsid w:val="00CA68A3"/>
    <w:rsid w:val="00CA6EA5"/>
    <w:rsid w:val="00CA7977"/>
    <w:rsid w:val="00CA7BB0"/>
    <w:rsid w:val="00CB13E7"/>
    <w:rsid w:val="00CB1800"/>
    <w:rsid w:val="00CB3428"/>
    <w:rsid w:val="00CB4535"/>
    <w:rsid w:val="00CB520B"/>
    <w:rsid w:val="00CB531C"/>
    <w:rsid w:val="00CB60E2"/>
    <w:rsid w:val="00CB6578"/>
    <w:rsid w:val="00CB6E33"/>
    <w:rsid w:val="00CB76A4"/>
    <w:rsid w:val="00CB7DEB"/>
    <w:rsid w:val="00CC053C"/>
    <w:rsid w:val="00CC0DA7"/>
    <w:rsid w:val="00CC1605"/>
    <w:rsid w:val="00CC1D48"/>
    <w:rsid w:val="00CC2514"/>
    <w:rsid w:val="00CC25E3"/>
    <w:rsid w:val="00CC2D05"/>
    <w:rsid w:val="00CC35C5"/>
    <w:rsid w:val="00CC37A8"/>
    <w:rsid w:val="00CC5A1F"/>
    <w:rsid w:val="00CC5AE9"/>
    <w:rsid w:val="00CD071D"/>
    <w:rsid w:val="00CD1168"/>
    <w:rsid w:val="00CD143E"/>
    <w:rsid w:val="00CD1B91"/>
    <w:rsid w:val="00CD1F47"/>
    <w:rsid w:val="00CD2869"/>
    <w:rsid w:val="00CD2EED"/>
    <w:rsid w:val="00CD3187"/>
    <w:rsid w:val="00CD36DE"/>
    <w:rsid w:val="00CD4611"/>
    <w:rsid w:val="00CD5060"/>
    <w:rsid w:val="00CD5525"/>
    <w:rsid w:val="00CD5746"/>
    <w:rsid w:val="00CD5984"/>
    <w:rsid w:val="00CD5EDB"/>
    <w:rsid w:val="00CD647F"/>
    <w:rsid w:val="00CD6E22"/>
    <w:rsid w:val="00CD6E68"/>
    <w:rsid w:val="00CD7723"/>
    <w:rsid w:val="00CE03E9"/>
    <w:rsid w:val="00CE04A1"/>
    <w:rsid w:val="00CE080F"/>
    <w:rsid w:val="00CE0D8D"/>
    <w:rsid w:val="00CE21CB"/>
    <w:rsid w:val="00CE228F"/>
    <w:rsid w:val="00CE376C"/>
    <w:rsid w:val="00CE4083"/>
    <w:rsid w:val="00CE42DA"/>
    <w:rsid w:val="00CE4570"/>
    <w:rsid w:val="00CE4C73"/>
    <w:rsid w:val="00CE4C86"/>
    <w:rsid w:val="00CE4DDC"/>
    <w:rsid w:val="00CE5CD1"/>
    <w:rsid w:val="00CE6781"/>
    <w:rsid w:val="00CE6B44"/>
    <w:rsid w:val="00CE764B"/>
    <w:rsid w:val="00CF07FC"/>
    <w:rsid w:val="00CF099B"/>
    <w:rsid w:val="00CF1922"/>
    <w:rsid w:val="00CF1A9F"/>
    <w:rsid w:val="00CF3244"/>
    <w:rsid w:val="00CF39E9"/>
    <w:rsid w:val="00CF3AE4"/>
    <w:rsid w:val="00CF4B55"/>
    <w:rsid w:val="00CF4B5A"/>
    <w:rsid w:val="00CF58D3"/>
    <w:rsid w:val="00CF66EE"/>
    <w:rsid w:val="00CF7B90"/>
    <w:rsid w:val="00D03C40"/>
    <w:rsid w:val="00D042A3"/>
    <w:rsid w:val="00D0569F"/>
    <w:rsid w:val="00D05746"/>
    <w:rsid w:val="00D06F18"/>
    <w:rsid w:val="00D07013"/>
    <w:rsid w:val="00D0767F"/>
    <w:rsid w:val="00D07771"/>
    <w:rsid w:val="00D12764"/>
    <w:rsid w:val="00D13129"/>
    <w:rsid w:val="00D1316F"/>
    <w:rsid w:val="00D13A70"/>
    <w:rsid w:val="00D13AAF"/>
    <w:rsid w:val="00D144D9"/>
    <w:rsid w:val="00D145EF"/>
    <w:rsid w:val="00D17479"/>
    <w:rsid w:val="00D21330"/>
    <w:rsid w:val="00D2212A"/>
    <w:rsid w:val="00D266F9"/>
    <w:rsid w:val="00D27883"/>
    <w:rsid w:val="00D27C53"/>
    <w:rsid w:val="00D303BB"/>
    <w:rsid w:val="00D3050C"/>
    <w:rsid w:val="00D30839"/>
    <w:rsid w:val="00D31CDB"/>
    <w:rsid w:val="00D35127"/>
    <w:rsid w:val="00D351E1"/>
    <w:rsid w:val="00D359BD"/>
    <w:rsid w:val="00D36DFF"/>
    <w:rsid w:val="00D36F3C"/>
    <w:rsid w:val="00D36FE6"/>
    <w:rsid w:val="00D37804"/>
    <w:rsid w:val="00D40527"/>
    <w:rsid w:val="00D4126F"/>
    <w:rsid w:val="00D41871"/>
    <w:rsid w:val="00D419A6"/>
    <w:rsid w:val="00D41AC7"/>
    <w:rsid w:val="00D41D04"/>
    <w:rsid w:val="00D43A17"/>
    <w:rsid w:val="00D43C20"/>
    <w:rsid w:val="00D448EC"/>
    <w:rsid w:val="00D44D39"/>
    <w:rsid w:val="00D468BC"/>
    <w:rsid w:val="00D4740B"/>
    <w:rsid w:val="00D47A06"/>
    <w:rsid w:val="00D5056C"/>
    <w:rsid w:val="00D51306"/>
    <w:rsid w:val="00D532AF"/>
    <w:rsid w:val="00D535F1"/>
    <w:rsid w:val="00D53746"/>
    <w:rsid w:val="00D53E80"/>
    <w:rsid w:val="00D5642D"/>
    <w:rsid w:val="00D56E21"/>
    <w:rsid w:val="00D575C5"/>
    <w:rsid w:val="00D577B0"/>
    <w:rsid w:val="00D600A7"/>
    <w:rsid w:val="00D60808"/>
    <w:rsid w:val="00D61245"/>
    <w:rsid w:val="00D629D5"/>
    <w:rsid w:val="00D6322D"/>
    <w:rsid w:val="00D65FDE"/>
    <w:rsid w:val="00D66E8E"/>
    <w:rsid w:val="00D675EC"/>
    <w:rsid w:val="00D67813"/>
    <w:rsid w:val="00D7023A"/>
    <w:rsid w:val="00D70A44"/>
    <w:rsid w:val="00D70DEF"/>
    <w:rsid w:val="00D739A2"/>
    <w:rsid w:val="00D7426E"/>
    <w:rsid w:val="00D7473F"/>
    <w:rsid w:val="00D748AD"/>
    <w:rsid w:val="00D74F32"/>
    <w:rsid w:val="00D75041"/>
    <w:rsid w:val="00D75D9D"/>
    <w:rsid w:val="00D76D0D"/>
    <w:rsid w:val="00D76E46"/>
    <w:rsid w:val="00D77EF5"/>
    <w:rsid w:val="00D800AC"/>
    <w:rsid w:val="00D806F2"/>
    <w:rsid w:val="00D80BCE"/>
    <w:rsid w:val="00D81122"/>
    <w:rsid w:val="00D8152D"/>
    <w:rsid w:val="00D819C0"/>
    <w:rsid w:val="00D81D3A"/>
    <w:rsid w:val="00D825C1"/>
    <w:rsid w:val="00D82931"/>
    <w:rsid w:val="00D836AB"/>
    <w:rsid w:val="00D83D08"/>
    <w:rsid w:val="00D84A3D"/>
    <w:rsid w:val="00D84D26"/>
    <w:rsid w:val="00D8720A"/>
    <w:rsid w:val="00D87A0D"/>
    <w:rsid w:val="00D87F07"/>
    <w:rsid w:val="00D90433"/>
    <w:rsid w:val="00D90C34"/>
    <w:rsid w:val="00D91982"/>
    <w:rsid w:val="00D91ECF"/>
    <w:rsid w:val="00D92ED7"/>
    <w:rsid w:val="00D94D39"/>
    <w:rsid w:val="00D9557C"/>
    <w:rsid w:val="00D95581"/>
    <w:rsid w:val="00D96160"/>
    <w:rsid w:val="00D9648F"/>
    <w:rsid w:val="00D96DD3"/>
    <w:rsid w:val="00DA2483"/>
    <w:rsid w:val="00DA2686"/>
    <w:rsid w:val="00DA31F7"/>
    <w:rsid w:val="00DA416C"/>
    <w:rsid w:val="00DA6BFD"/>
    <w:rsid w:val="00DA7044"/>
    <w:rsid w:val="00DA7A7D"/>
    <w:rsid w:val="00DB0737"/>
    <w:rsid w:val="00DB0FCF"/>
    <w:rsid w:val="00DB117E"/>
    <w:rsid w:val="00DB2635"/>
    <w:rsid w:val="00DB3303"/>
    <w:rsid w:val="00DB570E"/>
    <w:rsid w:val="00DB7D64"/>
    <w:rsid w:val="00DC09AF"/>
    <w:rsid w:val="00DC0D11"/>
    <w:rsid w:val="00DC0F51"/>
    <w:rsid w:val="00DC1A0C"/>
    <w:rsid w:val="00DC225C"/>
    <w:rsid w:val="00DC344C"/>
    <w:rsid w:val="00DC420B"/>
    <w:rsid w:val="00DC4329"/>
    <w:rsid w:val="00DC5210"/>
    <w:rsid w:val="00DC70B3"/>
    <w:rsid w:val="00DC73DA"/>
    <w:rsid w:val="00DD06BE"/>
    <w:rsid w:val="00DD1259"/>
    <w:rsid w:val="00DD17BA"/>
    <w:rsid w:val="00DD1994"/>
    <w:rsid w:val="00DD1DD1"/>
    <w:rsid w:val="00DD2131"/>
    <w:rsid w:val="00DD2616"/>
    <w:rsid w:val="00DD2C1A"/>
    <w:rsid w:val="00DD2C38"/>
    <w:rsid w:val="00DD3D54"/>
    <w:rsid w:val="00DD4648"/>
    <w:rsid w:val="00DD481F"/>
    <w:rsid w:val="00DD4E32"/>
    <w:rsid w:val="00DD4EAE"/>
    <w:rsid w:val="00DD6CCE"/>
    <w:rsid w:val="00DD781D"/>
    <w:rsid w:val="00DE002D"/>
    <w:rsid w:val="00DE2149"/>
    <w:rsid w:val="00DE30F6"/>
    <w:rsid w:val="00DE389F"/>
    <w:rsid w:val="00DE3A92"/>
    <w:rsid w:val="00DE3D4B"/>
    <w:rsid w:val="00DE434F"/>
    <w:rsid w:val="00DE43E9"/>
    <w:rsid w:val="00DE50E8"/>
    <w:rsid w:val="00DE5A1D"/>
    <w:rsid w:val="00DE5B8A"/>
    <w:rsid w:val="00DE7C13"/>
    <w:rsid w:val="00DE7C3C"/>
    <w:rsid w:val="00DF1834"/>
    <w:rsid w:val="00DF1B59"/>
    <w:rsid w:val="00DF273A"/>
    <w:rsid w:val="00DF2F05"/>
    <w:rsid w:val="00DF2FE2"/>
    <w:rsid w:val="00DF3831"/>
    <w:rsid w:val="00DF4357"/>
    <w:rsid w:val="00DF4ACE"/>
    <w:rsid w:val="00DF4FC5"/>
    <w:rsid w:val="00DF67CF"/>
    <w:rsid w:val="00DF6DA6"/>
    <w:rsid w:val="00DF7697"/>
    <w:rsid w:val="00DF7ED6"/>
    <w:rsid w:val="00E003CE"/>
    <w:rsid w:val="00E03720"/>
    <w:rsid w:val="00E03FE7"/>
    <w:rsid w:val="00E05599"/>
    <w:rsid w:val="00E05C5D"/>
    <w:rsid w:val="00E06964"/>
    <w:rsid w:val="00E0761B"/>
    <w:rsid w:val="00E10D09"/>
    <w:rsid w:val="00E10D6E"/>
    <w:rsid w:val="00E10EF6"/>
    <w:rsid w:val="00E11036"/>
    <w:rsid w:val="00E11406"/>
    <w:rsid w:val="00E11493"/>
    <w:rsid w:val="00E11BD2"/>
    <w:rsid w:val="00E11EE7"/>
    <w:rsid w:val="00E1245E"/>
    <w:rsid w:val="00E13358"/>
    <w:rsid w:val="00E13C9F"/>
    <w:rsid w:val="00E144BA"/>
    <w:rsid w:val="00E16679"/>
    <w:rsid w:val="00E16BB9"/>
    <w:rsid w:val="00E20304"/>
    <w:rsid w:val="00E2031A"/>
    <w:rsid w:val="00E20611"/>
    <w:rsid w:val="00E21973"/>
    <w:rsid w:val="00E224CB"/>
    <w:rsid w:val="00E22F9A"/>
    <w:rsid w:val="00E2366F"/>
    <w:rsid w:val="00E23838"/>
    <w:rsid w:val="00E251B8"/>
    <w:rsid w:val="00E25C02"/>
    <w:rsid w:val="00E25C58"/>
    <w:rsid w:val="00E26A6A"/>
    <w:rsid w:val="00E27908"/>
    <w:rsid w:val="00E27ED2"/>
    <w:rsid w:val="00E30755"/>
    <w:rsid w:val="00E30F92"/>
    <w:rsid w:val="00E312CF"/>
    <w:rsid w:val="00E314CB"/>
    <w:rsid w:val="00E31998"/>
    <w:rsid w:val="00E31E10"/>
    <w:rsid w:val="00E329E7"/>
    <w:rsid w:val="00E32BF2"/>
    <w:rsid w:val="00E331C7"/>
    <w:rsid w:val="00E339B0"/>
    <w:rsid w:val="00E354DD"/>
    <w:rsid w:val="00E35534"/>
    <w:rsid w:val="00E3696E"/>
    <w:rsid w:val="00E36BA7"/>
    <w:rsid w:val="00E36E95"/>
    <w:rsid w:val="00E374E3"/>
    <w:rsid w:val="00E378AB"/>
    <w:rsid w:val="00E379A3"/>
    <w:rsid w:val="00E37DA2"/>
    <w:rsid w:val="00E40424"/>
    <w:rsid w:val="00E40AA1"/>
    <w:rsid w:val="00E40AFB"/>
    <w:rsid w:val="00E412BD"/>
    <w:rsid w:val="00E459BB"/>
    <w:rsid w:val="00E45A22"/>
    <w:rsid w:val="00E463FC"/>
    <w:rsid w:val="00E4699C"/>
    <w:rsid w:val="00E46BA8"/>
    <w:rsid w:val="00E472AB"/>
    <w:rsid w:val="00E478AB"/>
    <w:rsid w:val="00E47924"/>
    <w:rsid w:val="00E47D18"/>
    <w:rsid w:val="00E5002D"/>
    <w:rsid w:val="00E50A41"/>
    <w:rsid w:val="00E52FEE"/>
    <w:rsid w:val="00E5326B"/>
    <w:rsid w:val="00E55646"/>
    <w:rsid w:val="00E5567D"/>
    <w:rsid w:val="00E5573E"/>
    <w:rsid w:val="00E564B1"/>
    <w:rsid w:val="00E565EE"/>
    <w:rsid w:val="00E56BB2"/>
    <w:rsid w:val="00E57CA2"/>
    <w:rsid w:val="00E601BA"/>
    <w:rsid w:val="00E60493"/>
    <w:rsid w:val="00E609EC"/>
    <w:rsid w:val="00E61DE7"/>
    <w:rsid w:val="00E62283"/>
    <w:rsid w:val="00E62895"/>
    <w:rsid w:val="00E64009"/>
    <w:rsid w:val="00E6418D"/>
    <w:rsid w:val="00E6448D"/>
    <w:rsid w:val="00E64CEB"/>
    <w:rsid w:val="00E65BBE"/>
    <w:rsid w:val="00E66A4A"/>
    <w:rsid w:val="00E66B63"/>
    <w:rsid w:val="00E67908"/>
    <w:rsid w:val="00E67B68"/>
    <w:rsid w:val="00E70B10"/>
    <w:rsid w:val="00E70B33"/>
    <w:rsid w:val="00E70D27"/>
    <w:rsid w:val="00E71797"/>
    <w:rsid w:val="00E71C7F"/>
    <w:rsid w:val="00E748A9"/>
    <w:rsid w:val="00E753D8"/>
    <w:rsid w:val="00E75880"/>
    <w:rsid w:val="00E80B57"/>
    <w:rsid w:val="00E813B7"/>
    <w:rsid w:val="00E81762"/>
    <w:rsid w:val="00E817B8"/>
    <w:rsid w:val="00E8253A"/>
    <w:rsid w:val="00E833D9"/>
    <w:rsid w:val="00E83B24"/>
    <w:rsid w:val="00E84071"/>
    <w:rsid w:val="00E84682"/>
    <w:rsid w:val="00E85264"/>
    <w:rsid w:val="00E86807"/>
    <w:rsid w:val="00E869C6"/>
    <w:rsid w:val="00E87306"/>
    <w:rsid w:val="00E92D77"/>
    <w:rsid w:val="00E92E96"/>
    <w:rsid w:val="00E93853"/>
    <w:rsid w:val="00E93A9A"/>
    <w:rsid w:val="00E940D6"/>
    <w:rsid w:val="00E9424B"/>
    <w:rsid w:val="00E949C2"/>
    <w:rsid w:val="00E95063"/>
    <w:rsid w:val="00E9635B"/>
    <w:rsid w:val="00E97403"/>
    <w:rsid w:val="00EA0139"/>
    <w:rsid w:val="00EA063C"/>
    <w:rsid w:val="00EA0DFC"/>
    <w:rsid w:val="00EA11C4"/>
    <w:rsid w:val="00EA1E2A"/>
    <w:rsid w:val="00EA20E2"/>
    <w:rsid w:val="00EA26EA"/>
    <w:rsid w:val="00EA27FB"/>
    <w:rsid w:val="00EA2A72"/>
    <w:rsid w:val="00EA30D2"/>
    <w:rsid w:val="00EA3C6E"/>
    <w:rsid w:val="00EA3E8C"/>
    <w:rsid w:val="00EA6FED"/>
    <w:rsid w:val="00EB24F0"/>
    <w:rsid w:val="00EB31F0"/>
    <w:rsid w:val="00EB5DBC"/>
    <w:rsid w:val="00EB6738"/>
    <w:rsid w:val="00EB6A3E"/>
    <w:rsid w:val="00EB7A20"/>
    <w:rsid w:val="00EC05F4"/>
    <w:rsid w:val="00EC1774"/>
    <w:rsid w:val="00EC1F27"/>
    <w:rsid w:val="00EC1F6B"/>
    <w:rsid w:val="00EC2DA7"/>
    <w:rsid w:val="00EC3428"/>
    <w:rsid w:val="00EC37B2"/>
    <w:rsid w:val="00EC4CC1"/>
    <w:rsid w:val="00EC556D"/>
    <w:rsid w:val="00EC569F"/>
    <w:rsid w:val="00EC5C3B"/>
    <w:rsid w:val="00EC799E"/>
    <w:rsid w:val="00EC7E96"/>
    <w:rsid w:val="00ED1080"/>
    <w:rsid w:val="00ED1997"/>
    <w:rsid w:val="00ED1B87"/>
    <w:rsid w:val="00ED2FDF"/>
    <w:rsid w:val="00ED40F9"/>
    <w:rsid w:val="00ED4BC8"/>
    <w:rsid w:val="00ED4C17"/>
    <w:rsid w:val="00ED5AF0"/>
    <w:rsid w:val="00ED6D34"/>
    <w:rsid w:val="00ED73AB"/>
    <w:rsid w:val="00ED7C3F"/>
    <w:rsid w:val="00ED7F5C"/>
    <w:rsid w:val="00EE1632"/>
    <w:rsid w:val="00EE1652"/>
    <w:rsid w:val="00EE36C1"/>
    <w:rsid w:val="00EE3FBD"/>
    <w:rsid w:val="00EE419B"/>
    <w:rsid w:val="00EE41CC"/>
    <w:rsid w:val="00EE43FC"/>
    <w:rsid w:val="00EE5667"/>
    <w:rsid w:val="00EE5D33"/>
    <w:rsid w:val="00EE726C"/>
    <w:rsid w:val="00EE7644"/>
    <w:rsid w:val="00EE797B"/>
    <w:rsid w:val="00EF05AC"/>
    <w:rsid w:val="00EF0D97"/>
    <w:rsid w:val="00EF1D84"/>
    <w:rsid w:val="00EF1ED2"/>
    <w:rsid w:val="00EF273D"/>
    <w:rsid w:val="00EF3E7C"/>
    <w:rsid w:val="00EF41BB"/>
    <w:rsid w:val="00EF6059"/>
    <w:rsid w:val="00EF665E"/>
    <w:rsid w:val="00EF6C51"/>
    <w:rsid w:val="00EF6D0F"/>
    <w:rsid w:val="00EF6EFE"/>
    <w:rsid w:val="00EF7161"/>
    <w:rsid w:val="00EF78BC"/>
    <w:rsid w:val="00F009BD"/>
    <w:rsid w:val="00F01F40"/>
    <w:rsid w:val="00F01FCF"/>
    <w:rsid w:val="00F02B96"/>
    <w:rsid w:val="00F037E1"/>
    <w:rsid w:val="00F03AA1"/>
    <w:rsid w:val="00F03D97"/>
    <w:rsid w:val="00F056E6"/>
    <w:rsid w:val="00F060E3"/>
    <w:rsid w:val="00F060E7"/>
    <w:rsid w:val="00F063CB"/>
    <w:rsid w:val="00F07D5E"/>
    <w:rsid w:val="00F07E3A"/>
    <w:rsid w:val="00F113B7"/>
    <w:rsid w:val="00F117A8"/>
    <w:rsid w:val="00F11A06"/>
    <w:rsid w:val="00F126EB"/>
    <w:rsid w:val="00F12DA8"/>
    <w:rsid w:val="00F15356"/>
    <w:rsid w:val="00F153B8"/>
    <w:rsid w:val="00F15E93"/>
    <w:rsid w:val="00F16EFF"/>
    <w:rsid w:val="00F17306"/>
    <w:rsid w:val="00F174B5"/>
    <w:rsid w:val="00F20540"/>
    <w:rsid w:val="00F208DC"/>
    <w:rsid w:val="00F22362"/>
    <w:rsid w:val="00F22ECA"/>
    <w:rsid w:val="00F232B1"/>
    <w:rsid w:val="00F23B3A"/>
    <w:rsid w:val="00F2412C"/>
    <w:rsid w:val="00F24986"/>
    <w:rsid w:val="00F262B0"/>
    <w:rsid w:val="00F26E46"/>
    <w:rsid w:val="00F27409"/>
    <w:rsid w:val="00F30326"/>
    <w:rsid w:val="00F31B06"/>
    <w:rsid w:val="00F32608"/>
    <w:rsid w:val="00F32F5B"/>
    <w:rsid w:val="00F33AF2"/>
    <w:rsid w:val="00F34780"/>
    <w:rsid w:val="00F34A3C"/>
    <w:rsid w:val="00F3599C"/>
    <w:rsid w:val="00F360AD"/>
    <w:rsid w:val="00F36FF0"/>
    <w:rsid w:val="00F3706A"/>
    <w:rsid w:val="00F37CD5"/>
    <w:rsid w:val="00F41128"/>
    <w:rsid w:val="00F4297D"/>
    <w:rsid w:val="00F42FE6"/>
    <w:rsid w:val="00F43D2F"/>
    <w:rsid w:val="00F44962"/>
    <w:rsid w:val="00F45030"/>
    <w:rsid w:val="00F45648"/>
    <w:rsid w:val="00F45DE8"/>
    <w:rsid w:val="00F460F5"/>
    <w:rsid w:val="00F47384"/>
    <w:rsid w:val="00F474FF"/>
    <w:rsid w:val="00F5100B"/>
    <w:rsid w:val="00F53247"/>
    <w:rsid w:val="00F541B0"/>
    <w:rsid w:val="00F551E1"/>
    <w:rsid w:val="00F5557A"/>
    <w:rsid w:val="00F55A82"/>
    <w:rsid w:val="00F55C02"/>
    <w:rsid w:val="00F55E87"/>
    <w:rsid w:val="00F55F21"/>
    <w:rsid w:val="00F56271"/>
    <w:rsid w:val="00F562D5"/>
    <w:rsid w:val="00F56A2B"/>
    <w:rsid w:val="00F577C2"/>
    <w:rsid w:val="00F60318"/>
    <w:rsid w:val="00F60515"/>
    <w:rsid w:val="00F60F8B"/>
    <w:rsid w:val="00F61292"/>
    <w:rsid w:val="00F62BDA"/>
    <w:rsid w:val="00F633E1"/>
    <w:rsid w:val="00F63466"/>
    <w:rsid w:val="00F64A26"/>
    <w:rsid w:val="00F656EC"/>
    <w:rsid w:val="00F6674D"/>
    <w:rsid w:val="00F700AB"/>
    <w:rsid w:val="00F703CB"/>
    <w:rsid w:val="00F7042E"/>
    <w:rsid w:val="00F704E3"/>
    <w:rsid w:val="00F70C78"/>
    <w:rsid w:val="00F70CCB"/>
    <w:rsid w:val="00F70DE2"/>
    <w:rsid w:val="00F70EFD"/>
    <w:rsid w:val="00F7110B"/>
    <w:rsid w:val="00F71181"/>
    <w:rsid w:val="00F7279F"/>
    <w:rsid w:val="00F72FF9"/>
    <w:rsid w:val="00F73752"/>
    <w:rsid w:val="00F7378B"/>
    <w:rsid w:val="00F73C61"/>
    <w:rsid w:val="00F74570"/>
    <w:rsid w:val="00F74B46"/>
    <w:rsid w:val="00F74EB9"/>
    <w:rsid w:val="00F757A0"/>
    <w:rsid w:val="00F75C82"/>
    <w:rsid w:val="00F76E06"/>
    <w:rsid w:val="00F77366"/>
    <w:rsid w:val="00F77D35"/>
    <w:rsid w:val="00F815AC"/>
    <w:rsid w:val="00F81DA6"/>
    <w:rsid w:val="00F8264F"/>
    <w:rsid w:val="00F8278B"/>
    <w:rsid w:val="00F82B43"/>
    <w:rsid w:val="00F82C98"/>
    <w:rsid w:val="00F85DA7"/>
    <w:rsid w:val="00F85E1E"/>
    <w:rsid w:val="00F9130C"/>
    <w:rsid w:val="00F92516"/>
    <w:rsid w:val="00F929CE"/>
    <w:rsid w:val="00F929EF"/>
    <w:rsid w:val="00F92B3D"/>
    <w:rsid w:val="00F92BD7"/>
    <w:rsid w:val="00F932F9"/>
    <w:rsid w:val="00F965E8"/>
    <w:rsid w:val="00F96DEE"/>
    <w:rsid w:val="00F97511"/>
    <w:rsid w:val="00F97A68"/>
    <w:rsid w:val="00FA03B8"/>
    <w:rsid w:val="00FA1DB6"/>
    <w:rsid w:val="00FA1E69"/>
    <w:rsid w:val="00FA25B7"/>
    <w:rsid w:val="00FA4DDD"/>
    <w:rsid w:val="00FA5706"/>
    <w:rsid w:val="00FA5E55"/>
    <w:rsid w:val="00FA7CD9"/>
    <w:rsid w:val="00FB06D3"/>
    <w:rsid w:val="00FB13C4"/>
    <w:rsid w:val="00FB191B"/>
    <w:rsid w:val="00FB2586"/>
    <w:rsid w:val="00FB2FC9"/>
    <w:rsid w:val="00FB34FF"/>
    <w:rsid w:val="00FB390E"/>
    <w:rsid w:val="00FB46CC"/>
    <w:rsid w:val="00FB571C"/>
    <w:rsid w:val="00FB58BE"/>
    <w:rsid w:val="00FB5C5F"/>
    <w:rsid w:val="00FC0386"/>
    <w:rsid w:val="00FC20B0"/>
    <w:rsid w:val="00FC2C12"/>
    <w:rsid w:val="00FC330D"/>
    <w:rsid w:val="00FC3628"/>
    <w:rsid w:val="00FC37DF"/>
    <w:rsid w:val="00FC3946"/>
    <w:rsid w:val="00FC3DE3"/>
    <w:rsid w:val="00FC3F41"/>
    <w:rsid w:val="00FC4087"/>
    <w:rsid w:val="00FC4695"/>
    <w:rsid w:val="00FC5DE4"/>
    <w:rsid w:val="00FC6A26"/>
    <w:rsid w:val="00FC7CAA"/>
    <w:rsid w:val="00FC7F3F"/>
    <w:rsid w:val="00FD11F0"/>
    <w:rsid w:val="00FD18BE"/>
    <w:rsid w:val="00FD2B26"/>
    <w:rsid w:val="00FD307C"/>
    <w:rsid w:val="00FD371A"/>
    <w:rsid w:val="00FD3762"/>
    <w:rsid w:val="00FD3D4A"/>
    <w:rsid w:val="00FD4331"/>
    <w:rsid w:val="00FD53D3"/>
    <w:rsid w:val="00FD595C"/>
    <w:rsid w:val="00FD6131"/>
    <w:rsid w:val="00FD6189"/>
    <w:rsid w:val="00FD6540"/>
    <w:rsid w:val="00FE3526"/>
    <w:rsid w:val="00FE3B31"/>
    <w:rsid w:val="00FE429B"/>
    <w:rsid w:val="00FE42F7"/>
    <w:rsid w:val="00FE4896"/>
    <w:rsid w:val="00FE4907"/>
    <w:rsid w:val="00FE493D"/>
    <w:rsid w:val="00FE5183"/>
    <w:rsid w:val="00FE5644"/>
    <w:rsid w:val="00FE56E3"/>
    <w:rsid w:val="00FE76EC"/>
    <w:rsid w:val="00FE77A8"/>
    <w:rsid w:val="00FF0DA6"/>
    <w:rsid w:val="00FF11FA"/>
    <w:rsid w:val="00FF1B80"/>
    <w:rsid w:val="00FF243F"/>
    <w:rsid w:val="00FF2EF0"/>
    <w:rsid w:val="00FF4074"/>
    <w:rsid w:val="00FF4261"/>
    <w:rsid w:val="00FF4747"/>
    <w:rsid w:val="00FF5D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D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
    <w:basedOn w:val="Normale"/>
    <w:link w:val="TestonotaapidipaginaCarattere"/>
    <w:uiPriority w:val="99"/>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paragraph" w:customStyle="1" w:styleId="ATitoloTavolaFigura">
    <w:name w:val="A.Titolo Tavola/Figura"/>
    <w:link w:val="ATitoloTavolaFiguraCarattere"/>
    <w:rsid w:val="006A78F6"/>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6A78F6"/>
    <w:rPr>
      <w:rFonts w:cs="Arial"/>
      <w:b/>
      <w:szCs w:val="18"/>
    </w:rPr>
  </w:style>
  <w:style w:type="paragraph" w:customStyle="1" w:styleId="ANotapipagina">
    <w:name w:val="A.Nota piè pagina"/>
    <w:basedOn w:val="Normale"/>
    <w:link w:val="ANotapipaginaCarattere"/>
    <w:rsid w:val="00123063"/>
    <w:pPr>
      <w:tabs>
        <w:tab w:val="right" w:pos="170"/>
        <w:tab w:val="right" w:pos="284"/>
        <w:tab w:val="right" w:pos="454"/>
        <w:tab w:val="right" w:leader="dot" w:pos="7371"/>
      </w:tabs>
      <w:spacing w:after="20"/>
      <w:ind w:left="113" w:hanging="113"/>
      <w:jc w:val="both"/>
    </w:pPr>
    <w:rPr>
      <w:sz w:val="16"/>
      <w:szCs w:val="16"/>
    </w:rPr>
  </w:style>
  <w:style w:type="character" w:customStyle="1" w:styleId="ANotapipaginaCarattere">
    <w:name w:val="A.Nota piè pagina Carattere"/>
    <w:link w:val="ANotapipagina"/>
    <w:rsid w:val="0012306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
    <w:basedOn w:val="Normale"/>
    <w:link w:val="TestonotaapidipaginaCarattere"/>
    <w:uiPriority w:val="99"/>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paragraph" w:customStyle="1" w:styleId="ATitoloTavolaFigura">
    <w:name w:val="A.Titolo Tavola/Figura"/>
    <w:link w:val="ATitoloTavolaFiguraCarattere"/>
    <w:rsid w:val="006A78F6"/>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6A78F6"/>
    <w:rPr>
      <w:rFonts w:cs="Arial"/>
      <w:b/>
      <w:szCs w:val="18"/>
    </w:rPr>
  </w:style>
  <w:style w:type="paragraph" w:customStyle="1" w:styleId="ANotapipagina">
    <w:name w:val="A.Nota piè pagina"/>
    <w:basedOn w:val="Normale"/>
    <w:link w:val="ANotapipaginaCarattere"/>
    <w:rsid w:val="00123063"/>
    <w:pPr>
      <w:tabs>
        <w:tab w:val="right" w:pos="170"/>
        <w:tab w:val="right" w:pos="284"/>
        <w:tab w:val="right" w:pos="454"/>
        <w:tab w:val="right" w:leader="dot" w:pos="7371"/>
      </w:tabs>
      <w:spacing w:after="20"/>
      <w:ind w:left="113" w:hanging="113"/>
      <w:jc w:val="both"/>
    </w:pPr>
    <w:rPr>
      <w:sz w:val="16"/>
      <w:szCs w:val="16"/>
    </w:rPr>
  </w:style>
  <w:style w:type="character" w:customStyle="1" w:styleId="ANotapipaginaCarattere">
    <w:name w:val="A.Nota piè pagina Carattere"/>
    <w:link w:val="ANotapipagina"/>
    <w:rsid w:val="001230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52109835">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37086551">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524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hyperlink" Target="https://www.eea.europa.eu/publications/european-bathing-water-quality-in-2017"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istat.it/it/archivio/225505"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istat.it/it/archivio/4630"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www.istat.it/it/archivio/207497"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vaccaro\AppData\Local\Temp\grafici%20acqu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vaccaro\AppData\Local\Temp\grafici%20acqu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vaccaro\AppData\Local\Temp\grafici%20acqu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4986190476190485E-2"/>
          <c:y val="2.54371976620478E-2"/>
          <c:w val="0.94586507936507935"/>
          <c:h val="0.74579860616174387"/>
        </c:manualLayout>
      </c:layout>
      <c:barChart>
        <c:barDir val="col"/>
        <c:grouping val="clustered"/>
        <c:varyColors val="0"/>
        <c:ser>
          <c:idx val="0"/>
          <c:order val="0"/>
          <c:spPr>
            <a:solidFill>
              <a:srgbClr val="1F497D"/>
            </a:solidFill>
            <a:ln>
              <a:no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'[Copia di AGGIORNATI GRAFICI_gma_2019_ATB_13032019 (1).xlsx]Figura 6'!$A$3:$A$30</c:f>
              <c:strCache>
                <c:ptCount val="28"/>
                <c:pt idx="0">
                  <c:v>Malta</c:v>
                </c:pt>
                <c:pt idx="1">
                  <c:v>Grecia</c:v>
                </c:pt>
                <c:pt idx="2">
                  <c:v>Cipro</c:v>
                </c:pt>
                <c:pt idx="3">
                  <c:v>Italia</c:v>
                </c:pt>
                <c:pt idx="4">
                  <c:v>Spagna</c:v>
                </c:pt>
                <c:pt idx="5">
                  <c:v>Portogallo</c:v>
                </c:pt>
                <c:pt idx="6">
                  <c:v>Paesi Bassi</c:v>
                </c:pt>
                <c:pt idx="7">
                  <c:v>Danimarca</c:v>
                </c:pt>
                <c:pt idx="8">
                  <c:v>Francia</c:v>
                </c:pt>
                <c:pt idx="9">
                  <c:v>Germania</c:v>
                </c:pt>
                <c:pt idx="10">
                  <c:v>Ungheria</c:v>
                </c:pt>
                <c:pt idx="11">
                  <c:v>Romania</c:v>
                </c:pt>
                <c:pt idx="12">
                  <c:v>Svezia</c:v>
                </c:pt>
                <c:pt idx="13">
                  <c:v>Slovacchia</c:v>
                </c:pt>
                <c:pt idx="14">
                  <c:v>Austria</c:v>
                </c:pt>
                <c:pt idx="15">
                  <c:v>Croazia</c:v>
                </c:pt>
                <c:pt idx="16">
                  <c:v>Polonia</c:v>
                </c:pt>
                <c:pt idx="17">
                  <c:v>Belgio</c:v>
                </c:pt>
                <c:pt idx="18">
                  <c:v>Slovenia</c:v>
                </c:pt>
                <c:pt idx="19">
                  <c:v>Repubblica Ceca</c:v>
                </c:pt>
                <c:pt idx="20">
                  <c:v>Regno Unito</c:v>
                </c:pt>
                <c:pt idx="21">
                  <c:v>Estonia</c:v>
                </c:pt>
                <c:pt idx="22">
                  <c:v>Lituania</c:v>
                </c:pt>
                <c:pt idx="23">
                  <c:v>Lettonia</c:v>
                </c:pt>
                <c:pt idx="24">
                  <c:v>Finlandia</c:v>
                </c:pt>
                <c:pt idx="25">
                  <c:v>Irlanda</c:v>
                </c:pt>
                <c:pt idx="26">
                  <c:v>Lussemburgo*</c:v>
                </c:pt>
                <c:pt idx="27">
                  <c:v>Bulgaria*</c:v>
                </c:pt>
              </c:strCache>
            </c:strRef>
          </c:cat>
          <c:val>
            <c:numRef>
              <c:f>'[Copia di AGGIORNATI GRAFICI_gma_2019_ATB_13032019 (1).xlsx]Figura 6'!$B$3:$B$30</c:f>
              <c:numCache>
                <c:formatCode>General</c:formatCode>
                <c:ptCount val="28"/>
                <c:pt idx="0">
                  <c:v>31.4</c:v>
                </c:pt>
                <c:pt idx="1">
                  <c:v>23.6</c:v>
                </c:pt>
                <c:pt idx="2">
                  <c:v>21</c:v>
                </c:pt>
                <c:pt idx="3">
                  <c:v>20.2</c:v>
                </c:pt>
                <c:pt idx="4">
                  <c:v>13.2</c:v>
                </c:pt>
                <c:pt idx="5">
                  <c:v>13</c:v>
                </c:pt>
                <c:pt idx="6">
                  <c:v>11.2</c:v>
                </c:pt>
                <c:pt idx="7">
                  <c:v>9.1999999999999993</c:v>
                </c:pt>
                <c:pt idx="8">
                  <c:v>4.9000000000000004</c:v>
                </c:pt>
                <c:pt idx="9">
                  <c:v>2.7</c:v>
                </c:pt>
                <c:pt idx="10">
                  <c:v>2.6</c:v>
                </c:pt>
                <c:pt idx="11">
                  <c:v>1.9</c:v>
                </c:pt>
                <c:pt idx="12">
                  <c:v>1.7</c:v>
                </c:pt>
                <c:pt idx="13">
                  <c:v>1.5</c:v>
                </c:pt>
                <c:pt idx="14">
                  <c:v>1.4</c:v>
                </c:pt>
                <c:pt idx="15">
                  <c:v>1</c:v>
                </c:pt>
                <c:pt idx="16">
                  <c:v>0.9</c:v>
                </c:pt>
                <c:pt idx="17">
                  <c:v>0.8</c:v>
                </c:pt>
                <c:pt idx="18">
                  <c:v>0.7</c:v>
                </c:pt>
                <c:pt idx="19">
                  <c:v>0.7</c:v>
                </c:pt>
                <c:pt idx="20">
                  <c:v>0.4</c:v>
                </c:pt>
                <c:pt idx="21">
                  <c:v>0.2</c:v>
                </c:pt>
                <c:pt idx="22">
                  <c:v>0.1</c:v>
                </c:pt>
                <c:pt idx="23">
                  <c:v>2.1834991372515604E-4</c:v>
                </c:pt>
                <c:pt idx="24">
                  <c:v>2.1834991372515604E-4</c:v>
                </c:pt>
                <c:pt idx="25">
                  <c:v>2.1834991372515604E-4</c:v>
                </c:pt>
              </c:numCache>
            </c:numRef>
          </c:val>
        </c:ser>
        <c:dLbls>
          <c:showLegendKey val="0"/>
          <c:showVal val="0"/>
          <c:showCatName val="0"/>
          <c:showSerName val="0"/>
          <c:showPercent val="0"/>
          <c:showBubbleSize val="0"/>
        </c:dLbls>
        <c:gapWidth val="50"/>
        <c:axId val="231690624"/>
        <c:axId val="231692160"/>
      </c:barChart>
      <c:catAx>
        <c:axId val="231690624"/>
        <c:scaling>
          <c:orientation val="minMax"/>
        </c:scaling>
        <c:delete val="0"/>
        <c:axPos val="b"/>
        <c:minorGridlines>
          <c:spPr>
            <a:ln w="9525">
              <a:solidFill>
                <a:schemeClr val="bg1"/>
              </a:solidFill>
            </a:ln>
          </c:spPr>
        </c:minorGridlines>
        <c:numFmt formatCode="General" sourceLinked="0"/>
        <c:majorTickMark val="none"/>
        <c:minorTickMark val="none"/>
        <c:tickLblPos val="nextTo"/>
        <c:spPr>
          <a:ln>
            <a:solidFill>
              <a:schemeClr val="bg1"/>
            </a:solidFill>
          </a:ln>
        </c:spPr>
        <c:txPr>
          <a:bodyPr/>
          <a:lstStyle/>
          <a:p>
            <a:pPr>
              <a:defRPr b="1"/>
            </a:pPr>
            <a:endParaRPr lang="it-IT"/>
          </a:p>
        </c:txPr>
        <c:crossAx val="231692160"/>
        <c:crosses val="autoZero"/>
        <c:auto val="1"/>
        <c:lblAlgn val="ctr"/>
        <c:lblOffset val="100"/>
        <c:noMultiLvlLbl val="0"/>
      </c:catAx>
      <c:valAx>
        <c:axId val="231692160"/>
        <c:scaling>
          <c:orientation val="minMax"/>
        </c:scaling>
        <c:delete val="0"/>
        <c:axPos val="l"/>
        <c:majorGridlines>
          <c:spPr>
            <a:ln w="9525">
              <a:solidFill>
                <a:schemeClr val="bg1"/>
              </a:solidFill>
            </a:ln>
          </c:spPr>
        </c:majorGridlines>
        <c:numFmt formatCode="#,##0" sourceLinked="0"/>
        <c:majorTickMark val="none"/>
        <c:minorTickMark val="none"/>
        <c:tickLblPos val="nextTo"/>
        <c:spPr>
          <a:ln>
            <a:solidFill>
              <a:schemeClr val="bg1"/>
            </a:solidFill>
          </a:ln>
        </c:spPr>
        <c:crossAx val="231690624"/>
        <c:crosses val="autoZero"/>
        <c:crossBetween val="between"/>
      </c:valAx>
      <c:spPr>
        <a:noFill/>
      </c:spPr>
    </c:plotArea>
    <c:plotVisOnly val="1"/>
    <c:dispBlanksAs val="gap"/>
    <c:showDLblsOverMax val="0"/>
  </c:chart>
  <c:spPr>
    <a:noFill/>
    <a:ln>
      <a:noFill/>
    </a:ln>
  </c:spPr>
  <c:txPr>
    <a:bodyPr/>
    <a:lstStyle/>
    <a:p>
      <a:pPr>
        <a:defRPr sz="900">
          <a:latin typeface="Arial Narrow" panose="020B0606020202030204" pitchFamily="34" charset="0"/>
          <a:cs typeface="Arial" panose="020B060402020202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29411764705878E-3"/>
          <c:y val="1.6770707070707068E-2"/>
          <c:w val="0.58613873015873019"/>
          <c:h val="0.96004444444444448"/>
        </c:manualLayout>
      </c:layout>
      <c:barChart>
        <c:barDir val="bar"/>
        <c:grouping val="clustered"/>
        <c:varyColors val="0"/>
        <c:ser>
          <c:idx val="0"/>
          <c:order val="0"/>
          <c:spPr>
            <a:solidFill>
              <a:srgbClr val="1F497D"/>
            </a:solidFill>
            <a:ln>
              <a:solidFill>
                <a:schemeClr val="bg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'[Copia di AGGIORNATI GRAFICI_gma_2019_ATB_13032019 (1).xlsx]Figura 5'!$A$5:$A$16</c:f>
              <c:strCache>
                <c:ptCount val="12"/>
                <c:pt idx="0">
                  <c:v>Colture industriali</c:v>
                </c:pt>
                <c:pt idx="1">
                  <c:v>Altre coltivazioni legnose agrarie e arboricoltura da legno</c:v>
                </c:pt>
                <c:pt idx="2">
                  <c:v>Prati permanenti e pascoli</c:v>
                </c:pt>
                <c:pt idx="3">
                  <c:v>Olivo</c:v>
                </c:pt>
                <c:pt idx="4">
                  <c:v>Cereali per la produzione di granella (esclusi mais e riso)</c:v>
                </c:pt>
                <c:pt idx="5">
                  <c:v>Vite</c:v>
                </c:pt>
                <c:pt idx="6">
                  <c:v>Riso</c:v>
                </c:pt>
                <c:pt idx="7">
                  <c:v>Altri seminativi</c:v>
                </c:pt>
                <c:pt idx="8">
                  <c:v>Ortive in piena aria</c:v>
                </c:pt>
                <c:pt idx="9">
                  <c:v>Fruttiferi e agrumi</c:v>
                </c:pt>
                <c:pt idx="10">
                  <c:v>Erbai e altre foraggere avvicendate</c:v>
                </c:pt>
                <c:pt idx="11">
                  <c:v>Mais da granella</c:v>
                </c:pt>
              </c:strCache>
            </c:strRef>
          </c:cat>
          <c:val>
            <c:numRef>
              <c:f>'[Copia di AGGIORNATI GRAFICI_gma_2019_ATB_13032019 (1).xlsx]Figura 5'!$B$5:$B$16</c:f>
              <c:numCache>
                <c:formatCode>General</c:formatCode>
                <c:ptCount val="12"/>
                <c:pt idx="0">
                  <c:v>0.4</c:v>
                </c:pt>
                <c:pt idx="1">
                  <c:v>0.6</c:v>
                </c:pt>
                <c:pt idx="2">
                  <c:v>4.0999999999999996</c:v>
                </c:pt>
                <c:pt idx="3">
                  <c:v>4.8</c:v>
                </c:pt>
                <c:pt idx="4">
                  <c:v>5.3</c:v>
                </c:pt>
                <c:pt idx="5">
                  <c:v>8.9</c:v>
                </c:pt>
                <c:pt idx="6">
                  <c:v>9.1999999999999993</c:v>
                </c:pt>
                <c:pt idx="7">
                  <c:v>9.4</c:v>
                </c:pt>
                <c:pt idx="8">
                  <c:v>9.6</c:v>
                </c:pt>
                <c:pt idx="9">
                  <c:v>12</c:v>
                </c:pt>
                <c:pt idx="10">
                  <c:v>17.3</c:v>
                </c:pt>
                <c:pt idx="11">
                  <c:v>18.600000000000001</c:v>
                </c:pt>
              </c:numCache>
            </c:numRef>
          </c:val>
        </c:ser>
        <c:dLbls>
          <c:showLegendKey val="0"/>
          <c:showVal val="0"/>
          <c:showCatName val="0"/>
          <c:showSerName val="0"/>
          <c:showPercent val="0"/>
          <c:showBubbleSize val="0"/>
        </c:dLbls>
        <c:gapWidth val="50"/>
        <c:axId val="245051392"/>
        <c:axId val="231909632"/>
      </c:barChart>
      <c:valAx>
        <c:axId val="231909632"/>
        <c:scaling>
          <c:orientation val="minMax"/>
        </c:scaling>
        <c:delete val="0"/>
        <c:axPos val="b"/>
        <c:minorGridlines>
          <c:spPr>
            <a:ln w="9525">
              <a:solidFill>
                <a:schemeClr val="bg1"/>
              </a:solidFill>
            </a:ln>
          </c:spPr>
        </c:minorGridlines>
        <c:numFmt formatCode="#,##0" sourceLinked="0"/>
        <c:majorTickMark val="none"/>
        <c:minorTickMark val="none"/>
        <c:tickLblPos val="nextTo"/>
        <c:spPr>
          <a:ln>
            <a:solidFill>
              <a:schemeClr val="bg1"/>
            </a:solidFill>
          </a:ln>
        </c:spPr>
        <c:txPr>
          <a:bodyPr/>
          <a:lstStyle/>
          <a:p>
            <a:pPr>
              <a:defRPr b="0"/>
            </a:pPr>
            <a:endParaRPr lang="it-IT"/>
          </a:p>
        </c:txPr>
        <c:crossAx val="245051392"/>
        <c:crosses val="autoZero"/>
        <c:crossBetween val="between"/>
      </c:valAx>
      <c:catAx>
        <c:axId val="245051392"/>
        <c:scaling>
          <c:orientation val="minMax"/>
        </c:scaling>
        <c:delete val="0"/>
        <c:axPos val="l"/>
        <c:majorGridlines>
          <c:spPr>
            <a:ln w="9525">
              <a:solidFill>
                <a:schemeClr val="bg1"/>
              </a:solidFill>
            </a:ln>
          </c:spPr>
        </c:majorGridlines>
        <c:numFmt formatCode="General" sourceLinked="1"/>
        <c:majorTickMark val="none"/>
        <c:minorTickMark val="none"/>
        <c:tickLblPos val="nextTo"/>
        <c:spPr>
          <a:ln>
            <a:solidFill>
              <a:schemeClr val="bg1"/>
            </a:solidFill>
          </a:ln>
        </c:spPr>
        <c:txPr>
          <a:bodyPr rot="0" vert="horz"/>
          <a:lstStyle/>
          <a:p>
            <a:pPr>
              <a:defRPr sz="900" b="1"/>
            </a:pPr>
            <a:endParaRPr lang="it-IT"/>
          </a:p>
        </c:txPr>
        <c:crossAx val="231909632"/>
        <c:crosses val="autoZero"/>
        <c:auto val="1"/>
        <c:lblAlgn val="ctr"/>
        <c:lblOffset val="100"/>
        <c:noMultiLvlLbl val="0"/>
      </c:catAx>
      <c:spPr>
        <a:noFill/>
      </c:spPr>
    </c:plotArea>
    <c:plotVisOnly val="1"/>
    <c:dispBlanksAs val="gap"/>
    <c:showDLblsOverMax val="0"/>
  </c:chart>
  <c:spPr>
    <a:noFill/>
    <a:ln>
      <a:noFill/>
    </a:ln>
  </c:spPr>
  <c:txPr>
    <a:bodyPr/>
    <a:lstStyle/>
    <a:p>
      <a:pPr>
        <a:defRPr sz="900">
          <a:latin typeface="Arial Narrow" panose="020B0606020202030204" pitchFamily="34" charset="0"/>
          <a:cs typeface="Arial" panose="020B060402020202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58806357767997E-2"/>
          <c:y val="0.1316526341840368"/>
          <c:w val="0.94528726164333821"/>
          <c:h val="0.51259042614099237"/>
        </c:manualLayout>
      </c:layout>
      <c:barChart>
        <c:barDir val="col"/>
        <c:grouping val="clustered"/>
        <c:varyColors val="0"/>
        <c:ser>
          <c:idx val="0"/>
          <c:order val="0"/>
          <c:tx>
            <c:strRef>
              <c:f>'[Copia di AGGIORNATI GRAFICI_gma_2019_ATB_13032019 (1).xlsx]Figura 8'!$B$2</c:f>
              <c:strCache>
                <c:ptCount val="1"/>
                <c:pt idx="0">
                  <c:v>2015</c:v>
                </c:pt>
              </c:strCache>
            </c:strRef>
          </c:tx>
          <c:spPr>
            <a:solidFill>
              <a:srgbClr val="1F497D"/>
            </a:solidFill>
            <a:ln>
              <a:noFill/>
            </a:ln>
          </c:spPr>
          <c:invertIfNegative val="0"/>
          <c:cat>
            <c:strRef>
              <c:f>'[Copia di AGGIORNATI GRAFICI_gma_2019_ATB_13032019 (1).xlsx]Figura 8'!$A$3:$A$24</c:f>
              <c:strCache>
                <c:ptCount val="22"/>
                <c:pt idx="0">
                  <c:v>Piemonte</c:v>
                </c:pt>
                <c:pt idx="1">
                  <c:v>Valle d’Aosta</c:v>
                </c:pt>
                <c:pt idx="2">
                  <c:v>Liguria</c:v>
                </c:pt>
                <c:pt idx="3">
                  <c:v>Lombardia</c:v>
                </c:pt>
                <c:pt idx="4">
                  <c:v>Trentino Alto- Adige</c:v>
                </c:pt>
                <c:pt idx="5">
                  <c:v>Bolzano/Bozen</c:v>
                </c:pt>
                <c:pt idx="6">
                  <c:v>Trento</c:v>
                </c:pt>
                <c:pt idx="7">
                  <c:v>Veneto</c:v>
                </c:pt>
                <c:pt idx="8">
                  <c:v>Friuli-Venezia Giulia</c:v>
                </c:pt>
                <c:pt idx="9">
                  <c:v>Emilia-Romagna</c:v>
                </c:pt>
                <c:pt idx="10">
                  <c:v>Toscana(a)</c:v>
                </c:pt>
                <c:pt idx="11">
                  <c:v>Umbria</c:v>
                </c:pt>
                <c:pt idx="12">
                  <c:v>Marche (a)</c:v>
                </c:pt>
                <c:pt idx="13">
                  <c:v>Lazio</c:v>
                </c:pt>
                <c:pt idx="14">
                  <c:v>Abruzzo (a)</c:v>
                </c:pt>
                <c:pt idx="15">
                  <c:v>Molise (b)</c:v>
                </c:pt>
                <c:pt idx="16">
                  <c:v>Campania</c:v>
                </c:pt>
                <c:pt idx="17">
                  <c:v>Puglia</c:v>
                </c:pt>
                <c:pt idx="18">
                  <c:v>Basilicata</c:v>
                </c:pt>
                <c:pt idx="19">
                  <c:v>Calabria</c:v>
                </c:pt>
                <c:pt idx="20">
                  <c:v>Sicilia</c:v>
                </c:pt>
                <c:pt idx="21">
                  <c:v>Sardegna</c:v>
                </c:pt>
              </c:strCache>
            </c:strRef>
          </c:cat>
          <c:val>
            <c:numRef>
              <c:f>'[Copia di AGGIORNATI GRAFICI_gma_2019_ATB_13032019 (1).xlsx]Figura 8'!$B$3:$B$24</c:f>
              <c:numCache>
                <c:formatCode>General</c:formatCode>
                <c:ptCount val="22"/>
                <c:pt idx="0">
                  <c:v>2373403</c:v>
                </c:pt>
                <c:pt idx="1">
                  <c:v>184350</c:v>
                </c:pt>
                <c:pt idx="2">
                  <c:v>96062</c:v>
                </c:pt>
                <c:pt idx="3">
                  <c:v>3245163</c:v>
                </c:pt>
                <c:pt idx="4">
                  <c:v>160090</c:v>
                </c:pt>
                <c:pt idx="5">
                  <c:v>59225</c:v>
                </c:pt>
                <c:pt idx="6">
                  <c:v>100865</c:v>
                </c:pt>
                <c:pt idx="7">
                  <c:v>2596370</c:v>
                </c:pt>
                <c:pt idx="8">
                  <c:v>226056</c:v>
                </c:pt>
                <c:pt idx="9">
                  <c:v>335424</c:v>
                </c:pt>
                <c:pt idx="10">
                  <c:v>978044</c:v>
                </c:pt>
                <c:pt idx="11">
                  <c:v>1211187</c:v>
                </c:pt>
                <c:pt idx="12">
                  <c:v>412881</c:v>
                </c:pt>
                <c:pt idx="13">
                  <c:v>294410</c:v>
                </c:pt>
                <c:pt idx="14">
                  <c:v>628774</c:v>
                </c:pt>
                <c:pt idx="15">
                  <c:v>0</c:v>
                </c:pt>
                <c:pt idx="16">
                  <c:v>1363566</c:v>
                </c:pt>
                <c:pt idx="17">
                  <c:v>62279</c:v>
                </c:pt>
                <c:pt idx="18">
                  <c:v>822142</c:v>
                </c:pt>
                <c:pt idx="19">
                  <c:v>312084</c:v>
                </c:pt>
                <c:pt idx="20">
                  <c:v>443561</c:v>
                </c:pt>
                <c:pt idx="21">
                  <c:v>246448</c:v>
                </c:pt>
              </c:numCache>
            </c:numRef>
          </c:val>
        </c:ser>
        <c:ser>
          <c:idx val="1"/>
          <c:order val="1"/>
          <c:tx>
            <c:strRef>
              <c:f>'[Copia di AGGIORNATI GRAFICI_gma_2019_ATB_13032019 (1).xlsx]Figura 8'!$C$2</c:f>
              <c:strCache>
                <c:ptCount val="1"/>
                <c:pt idx="0">
                  <c:v>2016</c:v>
                </c:pt>
              </c:strCache>
            </c:strRef>
          </c:tx>
          <c:spPr>
            <a:solidFill>
              <a:srgbClr val="E42618"/>
            </a:solidFill>
            <a:ln>
              <a:noFill/>
            </a:ln>
          </c:spPr>
          <c:invertIfNegative val="0"/>
          <c:cat>
            <c:strRef>
              <c:f>'[Copia di AGGIORNATI GRAFICI_gma_2019_ATB_13032019 (1).xlsx]Figura 8'!$A$3:$A$24</c:f>
              <c:strCache>
                <c:ptCount val="22"/>
                <c:pt idx="0">
                  <c:v>Piemonte</c:v>
                </c:pt>
                <c:pt idx="1">
                  <c:v>Valle d’Aosta</c:v>
                </c:pt>
                <c:pt idx="2">
                  <c:v>Liguria</c:v>
                </c:pt>
                <c:pt idx="3">
                  <c:v>Lombardia</c:v>
                </c:pt>
                <c:pt idx="4">
                  <c:v>Trentino Alto- Adige</c:v>
                </c:pt>
                <c:pt idx="5">
                  <c:v>Bolzano/Bozen</c:v>
                </c:pt>
                <c:pt idx="6">
                  <c:v>Trento</c:v>
                </c:pt>
                <c:pt idx="7">
                  <c:v>Veneto</c:v>
                </c:pt>
                <c:pt idx="8">
                  <c:v>Friuli-Venezia Giulia</c:v>
                </c:pt>
                <c:pt idx="9">
                  <c:v>Emilia-Romagna</c:v>
                </c:pt>
                <c:pt idx="10">
                  <c:v>Toscana(a)</c:v>
                </c:pt>
                <c:pt idx="11">
                  <c:v>Umbria</c:v>
                </c:pt>
                <c:pt idx="12">
                  <c:v>Marche (a)</c:v>
                </c:pt>
                <c:pt idx="13">
                  <c:v>Lazio</c:v>
                </c:pt>
                <c:pt idx="14">
                  <c:v>Abruzzo (a)</c:v>
                </c:pt>
                <c:pt idx="15">
                  <c:v>Molise (b)</c:v>
                </c:pt>
                <c:pt idx="16">
                  <c:v>Campania</c:v>
                </c:pt>
                <c:pt idx="17">
                  <c:v>Puglia</c:v>
                </c:pt>
                <c:pt idx="18">
                  <c:v>Basilicata</c:v>
                </c:pt>
                <c:pt idx="19">
                  <c:v>Calabria</c:v>
                </c:pt>
                <c:pt idx="20">
                  <c:v>Sicilia</c:v>
                </c:pt>
                <c:pt idx="21">
                  <c:v>Sardegna</c:v>
                </c:pt>
              </c:strCache>
            </c:strRef>
          </c:cat>
          <c:val>
            <c:numRef>
              <c:f>'[Copia di AGGIORNATI GRAFICI_gma_2019_ATB_13032019 (1).xlsx]Figura 8'!$C$3:$C$24</c:f>
              <c:numCache>
                <c:formatCode>General</c:formatCode>
                <c:ptCount val="22"/>
                <c:pt idx="0">
                  <c:v>2553120</c:v>
                </c:pt>
                <c:pt idx="1">
                  <c:v>193328</c:v>
                </c:pt>
                <c:pt idx="2">
                  <c:v>86891</c:v>
                </c:pt>
                <c:pt idx="3">
                  <c:v>3292852</c:v>
                </c:pt>
                <c:pt idx="4">
                  <c:v>166076</c:v>
                </c:pt>
                <c:pt idx="5">
                  <c:v>62454</c:v>
                </c:pt>
                <c:pt idx="6">
                  <c:v>103622</c:v>
                </c:pt>
                <c:pt idx="7">
                  <c:v>2361766</c:v>
                </c:pt>
                <c:pt idx="8">
                  <c:v>224740</c:v>
                </c:pt>
                <c:pt idx="9">
                  <c:v>358956</c:v>
                </c:pt>
                <c:pt idx="10">
                  <c:v>982417</c:v>
                </c:pt>
                <c:pt idx="11">
                  <c:v>1132317</c:v>
                </c:pt>
                <c:pt idx="12">
                  <c:v>448902</c:v>
                </c:pt>
                <c:pt idx="13">
                  <c:v>454007</c:v>
                </c:pt>
                <c:pt idx="14">
                  <c:v>585449</c:v>
                </c:pt>
                <c:pt idx="15">
                  <c:v>0</c:v>
                </c:pt>
                <c:pt idx="16">
                  <c:v>1412355</c:v>
                </c:pt>
                <c:pt idx="17">
                  <c:v>62112</c:v>
                </c:pt>
                <c:pt idx="18">
                  <c:v>875905</c:v>
                </c:pt>
                <c:pt idx="19">
                  <c:v>339324</c:v>
                </c:pt>
                <c:pt idx="20">
                  <c:v>424719</c:v>
                </c:pt>
                <c:pt idx="21">
                  <c:v>233491</c:v>
                </c:pt>
              </c:numCache>
            </c:numRef>
          </c:val>
        </c:ser>
        <c:dLbls>
          <c:showLegendKey val="0"/>
          <c:showVal val="0"/>
          <c:showCatName val="0"/>
          <c:showSerName val="0"/>
          <c:showPercent val="0"/>
          <c:showBubbleSize val="0"/>
        </c:dLbls>
        <c:gapWidth val="50"/>
        <c:axId val="293037184"/>
        <c:axId val="293038720"/>
      </c:barChart>
      <c:catAx>
        <c:axId val="293037184"/>
        <c:scaling>
          <c:orientation val="minMax"/>
        </c:scaling>
        <c:delete val="0"/>
        <c:axPos val="b"/>
        <c:minorGridlines>
          <c:spPr>
            <a:ln w="9525">
              <a:solidFill>
                <a:schemeClr val="bg1"/>
              </a:solidFill>
            </a:ln>
          </c:spPr>
        </c:minorGridlines>
        <c:numFmt formatCode="General" sourceLinked="0"/>
        <c:majorTickMark val="out"/>
        <c:minorTickMark val="none"/>
        <c:tickLblPos val="nextTo"/>
        <c:spPr>
          <a:ln>
            <a:solidFill>
              <a:schemeClr val="bg1"/>
            </a:solidFill>
          </a:ln>
        </c:spPr>
        <c:txPr>
          <a:bodyPr rot="-1800000"/>
          <a:lstStyle/>
          <a:p>
            <a:pPr>
              <a:defRPr b="1"/>
            </a:pPr>
            <a:endParaRPr lang="it-IT"/>
          </a:p>
        </c:txPr>
        <c:crossAx val="293038720"/>
        <c:crossesAt val="0"/>
        <c:auto val="1"/>
        <c:lblAlgn val="ctr"/>
        <c:lblOffset val="100"/>
        <c:noMultiLvlLbl val="0"/>
      </c:catAx>
      <c:valAx>
        <c:axId val="293038720"/>
        <c:scaling>
          <c:orientation val="minMax"/>
          <c:max val="3500000"/>
          <c:min val="0"/>
        </c:scaling>
        <c:delete val="0"/>
        <c:axPos val="l"/>
        <c:majorGridlines>
          <c:spPr>
            <a:ln>
              <a:solidFill>
                <a:schemeClr val="bg1"/>
              </a:solidFill>
            </a:ln>
          </c:spPr>
        </c:majorGridlines>
        <c:numFmt formatCode="#,##0.0" sourceLinked="0"/>
        <c:majorTickMark val="none"/>
        <c:minorTickMark val="none"/>
        <c:tickLblPos val="nextTo"/>
        <c:spPr>
          <a:ln>
            <a:solidFill>
              <a:schemeClr val="bg1"/>
            </a:solidFill>
          </a:ln>
        </c:spPr>
        <c:crossAx val="293037184"/>
        <c:crosses val="autoZero"/>
        <c:crossBetween val="between"/>
        <c:dispUnits>
          <c:builtInUnit val="millions"/>
        </c:dispUnits>
      </c:valAx>
      <c:spPr>
        <a:noFill/>
        <a:ln w="25400">
          <a:noFill/>
        </a:ln>
      </c:spPr>
    </c:plotArea>
    <c:legend>
      <c:legendPos val="t"/>
      <c:layout>
        <c:manualLayout>
          <c:xMode val="edge"/>
          <c:yMode val="edge"/>
          <c:x val="0.31116966931374657"/>
          <c:y val="5.4523644775320339E-2"/>
          <c:w val="0.34860714285714278"/>
          <c:h val="5.9751570050958117E-2"/>
        </c:manualLayout>
      </c:layout>
      <c:overlay val="0"/>
    </c:legend>
    <c:plotVisOnly val="1"/>
    <c:dispBlanksAs val="gap"/>
    <c:showDLblsOverMax val="0"/>
  </c:chart>
  <c:spPr>
    <a:noFill/>
    <a:ln>
      <a:noFill/>
    </a:ln>
  </c:spPr>
  <c:txPr>
    <a:bodyPr/>
    <a:lstStyle/>
    <a:p>
      <a:pPr>
        <a:defRPr sz="900">
          <a:latin typeface="Arial Narrow" panose="020B0606020202030204" pitchFamily="34" charset="0"/>
          <a:cs typeface="Arial" panose="020B060402020202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8E0C8-76E0-4008-BFFA-0FD23490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6473</Words>
  <Characters>36901</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43288</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Sandra Costa Bona</cp:lastModifiedBy>
  <cp:revision>2</cp:revision>
  <cp:lastPrinted>2019-03-15T10:20:00Z</cp:lastPrinted>
  <dcterms:created xsi:type="dcterms:W3CDTF">2019-03-23T13:17:00Z</dcterms:created>
  <dcterms:modified xsi:type="dcterms:W3CDTF">2019-03-23T13:17:00Z</dcterms:modified>
</cp:coreProperties>
</file>